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65F6" w14:textId="2114EEF4" w:rsidR="00637381" w:rsidRDefault="000134F6" w:rsidP="004041A6">
      <w:pPr>
        <w:tabs>
          <w:tab w:val="left" w:pos="5580"/>
        </w:tabs>
      </w:pPr>
      <w:r>
        <w:rPr>
          <w:noProof/>
        </w:rPr>
        <w:drawing>
          <wp:inline distT="0" distB="0" distL="0" distR="0" wp14:anchorId="26642614" wp14:editId="59DD9510">
            <wp:extent cx="3206750" cy="2171700"/>
            <wp:effectExtent l="0" t="0" r="1270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041A6">
        <w:tab/>
      </w:r>
      <w:r w:rsidR="008A4490">
        <w:rPr>
          <w:noProof/>
        </w:rPr>
        <w:drawing>
          <wp:inline distT="0" distB="0" distL="0" distR="0" wp14:anchorId="55C1E798" wp14:editId="15F383D7">
            <wp:extent cx="3130550" cy="2165350"/>
            <wp:effectExtent l="0" t="0" r="12700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90376">
        <w:t xml:space="preserve"> </w:t>
      </w:r>
      <w:r w:rsidR="00F81FF6">
        <w:tab/>
      </w:r>
      <w:r w:rsidR="00C90376">
        <w:t xml:space="preserve"> </w:t>
      </w:r>
    </w:p>
    <w:p w14:paraId="5AE0AA2B" w14:textId="571DEF6D" w:rsidR="00A661AB" w:rsidRDefault="00BC65D4" w:rsidP="00FF05CB">
      <w:pPr>
        <w:tabs>
          <w:tab w:val="left" w:pos="5580"/>
        </w:tabs>
      </w:pPr>
      <w:r>
        <w:rPr>
          <w:noProof/>
        </w:rPr>
        <w:drawing>
          <wp:inline distT="0" distB="0" distL="0" distR="0" wp14:anchorId="7F189585" wp14:editId="65402C62">
            <wp:extent cx="3206750" cy="2546350"/>
            <wp:effectExtent l="0" t="0" r="1270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90376">
        <w:t xml:space="preserve"> </w:t>
      </w:r>
      <w:r w:rsidR="004041A6">
        <w:tab/>
      </w:r>
      <w:r w:rsidR="00C90376">
        <w:rPr>
          <w:noProof/>
        </w:rPr>
        <w:drawing>
          <wp:inline distT="0" distB="0" distL="0" distR="0" wp14:anchorId="7C902CCA" wp14:editId="2B49C24C">
            <wp:extent cx="3130550" cy="2552700"/>
            <wp:effectExtent l="0" t="0" r="1270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F05CB">
        <w:br/>
      </w:r>
      <w:r w:rsidR="00FF05CB">
        <w:br/>
      </w:r>
      <w:r w:rsidR="00387C1C">
        <w:rPr>
          <w:noProof/>
        </w:rPr>
        <w:drawing>
          <wp:inline distT="0" distB="0" distL="0" distR="0" wp14:anchorId="138D581E" wp14:editId="0E38FDFC">
            <wp:extent cx="3206750" cy="3079750"/>
            <wp:effectExtent l="0" t="0" r="1270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1112C">
        <w:tab/>
      </w:r>
      <w:r w:rsidR="00B1112C">
        <w:rPr>
          <w:noProof/>
        </w:rPr>
        <w:drawing>
          <wp:inline distT="0" distB="0" distL="0" distR="0" wp14:anchorId="0521F651" wp14:editId="1533CE4A">
            <wp:extent cx="3130550" cy="3086100"/>
            <wp:effectExtent l="0" t="0" r="1270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339E7" w14:paraId="5D25CD77" w14:textId="77777777" w:rsidTr="000A6CA5">
        <w:tc>
          <w:tcPr>
            <w:tcW w:w="10790" w:type="dxa"/>
            <w:gridSpan w:val="2"/>
          </w:tcPr>
          <w:p w14:paraId="3368F904" w14:textId="5886A5B8" w:rsidR="006339E7" w:rsidRDefault="006339E7" w:rsidP="006339E7">
            <w:pPr>
              <w:tabs>
                <w:tab w:val="left" w:pos="5580"/>
              </w:tabs>
              <w:jc w:val="center"/>
            </w:pPr>
            <w:r>
              <w:lastRenderedPageBreak/>
              <w:t>Legend: Cause of Housing Crisis &amp; Additional Cause of Housing Crisis</w:t>
            </w:r>
          </w:p>
        </w:tc>
      </w:tr>
      <w:tr w:rsidR="006339E7" w14:paraId="1F0385EF" w14:textId="77777777" w:rsidTr="006339E7">
        <w:tc>
          <w:tcPr>
            <w:tcW w:w="5395" w:type="dxa"/>
          </w:tcPr>
          <w:p w14:paraId="3EDCBA3A" w14:textId="77777777" w:rsidR="006339E7" w:rsidRPr="00222250" w:rsidRDefault="002432E7" w:rsidP="00FF05CB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D6CCD">
              <w:rPr>
                <w:color w:val="7F7F7F" w:themeColor="text1" w:themeTint="80"/>
                <w:sz w:val="20"/>
                <w:szCs w:val="20"/>
              </w:rPr>
              <w:sym w:font="Wingdings 2" w:char="F0A2"/>
            </w:r>
            <w:r w:rsidRPr="00222250">
              <w:rPr>
                <w:sz w:val="20"/>
                <w:szCs w:val="20"/>
              </w:rPr>
              <w:t xml:space="preserve">  N/A</w:t>
            </w:r>
          </w:p>
          <w:p w14:paraId="1003A86F" w14:textId="5E89A424" w:rsidR="00983ED0" w:rsidRPr="00222250" w:rsidRDefault="00983ED0" w:rsidP="00FF05CB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D6CCD">
              <w:rPr>
                <w:color w:val="4E67C8" w:themeColor="accent1"/>
                <w:sz w:val="20"/>
                <w:szCs w:val="20"/>
              </w:rPr>
              <w:sym w:font="Wingdings 2" w:char="F0A2"/>
            </w:r>
            <w:r w:rsidRPr="00222250">
              <w:rPr>
                <w:sz w:val="20"/>
                <w:szCs w:val="20"/>
              </w:rPr>
              <w:t xml:space="preserve">  Eviction/Foreclosure/Cannot Afford Housing</w:t>
            </w:r>
          </w:p>
          <w:p w14:paraId="1BA4882F" w14:textId="77777777" w:rsidR="00983ED0" w:rsidRPr="00222250" w:rsidRDefault="00983ED0" w:rsidP="00FF05CB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D6CCD">
              <w:rPr>
                <w:color w:val="FF8021" w:themeColor="accent5"/>
                <w:sz w:val="20"/>
                <w:szCs w:val="20"/>
              </w:rPr>
              <w:sym w:font="Wingdings 2" w:char="F0A2"/>
            </w:r>
            <w:r w:rsidRPr="00222250">
              <w:rPr>
                <w:sz w:val="20"/>
                <w:szCs w:val="20"/>
              </w:rPr>
              <w:t xml:space="preserve">  </w:t>
            </w:r>
            <w:r w:rsidR="00BC7179" w:rsidRPr="00222250">
              <w:rPr>
                <w:sz w:val="20"/>
                <w:szCs w:val="20"/>
              </w:rPr>
              <w:t>Household/Domestic Factor</w:t>
            </w:r>
          </w:p>
          <w:p w14:paraId="227E347A" w14:textId="1197EEAC" w:rsidR="00222250" w:rsidRPr="001F38C8" w:rsidRDefault="00222250" w:rsidP="00FF05CB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D6CCD">
              <w:rPr>
                <w:color w:val="5ECCF3" w:themeColor="accent2"/>
                <w:sz w:val="20"/>
                <w:szCs w:val="20"/>
              </w:rPr>
              <w:sym w:font="Wingdings 2" w:char="F0A2"/>
            </w:r>
            <w:r w:rsidRPr="00222250">
              <w:rPr>
                <w:sz w:val="20"/>
                <w:szCs w:val="20"/>
              </w:rPr>
              <w:t xml:space="preserve">  Loss or decrease in income/Loss of job/Seasonal Employee</w:t>
            </w:r>
          </w:p>
        </w:tc>
        <w:tc>
          <w:tcPr>
            <w:tcW w:w="5395" w:type="dxa"/>
          </w:tcPr>
          <w:p w14:paraId="3EFFB88A" w14:textId="79DD6043" w:rsidR="00222250" w:rsidRPr="00222250" w:rsidRDefault="00222250" w:rsidP="00222250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D6CCD">
              <w:rPr>
                <w:color w:val="A7EA52" w:themeColor="accent3"/>
                <w:sz w:val="20"/>
                <w:szCs w:val="20"/>
              </w:rPr>
              <w:sym w:font="Wingdings 2" w:char="F0A2"/>
            </w:r>
            <w:r w:rsidRPr="00222250">
              <w:rPr>
                <w:sz w:val="20"/>
                <w:szCs w:val="20"/>
              </w:rPr>
              <w:t xml:space="preserve">  </w:t>
            </w:r>
            <w:r w:rsidR="001F38C8">
              <w:rPr>
                <w:sz w:val="20"/>
                <w:szCs w:val="20"/>
              </w:rPr>
              <w:t>Natural Disaster</w:t>
            </w:r>
          </w:p>
          <w:p w14:paraId="73576032" w14:textId="76602FD0" w:rsidR="00222250" w:rsidRPr="00222250" w:rsidRDefault="00222250" w:rsidP="00222250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D6CCD">
              <w:rPr>
                <w:color w:val="C00000"/>
                <w:sz w:val="20"/>
                <w:szCs w:val="20"/>
              </w:rPr>
              <w:sym w:font="Wingdings 2" w:char="F0A2"/>
            </w:r>
            <w:r w:rsidRPr="00222250">
              <w:rPr>
                <w:sz w:val="20"/>
                <w:szCs w:val="20"/>
              </w:rPr>
              <w:t xml:space="preserve">  </w:t>
            </w:r>
            <w:r w:rsidR="001F38C8">
              <w:rPr>
                <w:sz w:val="20"/>
                <w:szCs w:val="20"/>
              </w:rPr>
              <w:t>Pandemic</w:t>
            </w:r>
          </w:p>
          <w:p w14:paraId="7A1244BD" w14:textId="08E04294" w:rsidR="00222250" w:rsidRPr="00222250" w:rsidRDefault="00222250" w:rsidP="00222250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D6CCD">
              <w:rPr>
                <w:color w:val="7030A0"/>
                <w:sz w:val="20"/>
                <w:szCs w:val="20"/>
              </w:rPr>
              <w:sym w:font="Wingdings 2" w:char="F0A2"/>
            </w:r>
            <w:r w:rsidRPr="00222250">
              <w:rPr>
                <w:sz w:val="20"/>
                <w:szCs w:val="20"/>
              </w:rPr>
              <w:t xml:space="preserve">  </w:t>
            </w:r>
            <w:r w:rsidR="001F38C8">
              <w:rPr>
                <w:sz w:val="20"/>
                <w:szCs w:val="20"/>
              </w:rPr>
              <w:t>Prefer not to answer/Decline</w:t>
            </w:r>
          </w:p>
          <w:p w14:paraId="5EAFF2D4" w14:textId="131620F0" w:rsidR="006339E7" w:rsidRPr="001F38C8" w:rsidRDefault="00222250" w:rsidP="00222250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D6CCD">
              <w:rPr>
                <w:color w:val="C604A6"/>
                <w:sz w:val="20"/>
                <w:szCs w:val="20"/>
              </w:rPr>
              <w:sym w:font="Wingdings 2" w:char="F0A2"/>
            </w:r>
            <w:r w:rsidRPr="00222250">
              <w:rPr>
                <w:sz w:val="20"/>
                <w:szCs w:val="20"/>
              </w:rPr>
              <w:t xml:space="preserve">  </w:t>
            </w:r>
            <w:r w:rsidR="001F38C8">
              <w:rPr>
                <w:sz w:val="20"/>
                <w:szCs w:val="20"/>
              </w:rPr>
              <w:t>None of the above</w:t>
            </w:r>
          </w:p>
        </w:tc>
      </w:tr>
    </w:tbl>
    <w:p w14:paraId="252F5072" w14:textId="77777777" w:rsidR="00A661AB" w:rsidRDefault="00A661AB"/>
    <w:p w14:paraId="42AEED2E" w14:textId="5AF43BC8" w:rsidR="009A0E79" w:rsidRDefault="009A0E79" w:rsidP="009820D4">
      <w:pPr>
        <w:tabs>
          <w:tab w:val="left" w:pos="5670"/>
        </w:tabs>
      </w:pPr>
      <w:r>
        <w:rPr>
          <w:noProof/>
        </w:rPr>
        <w:drawing>
          <wp:inline distT="0" distB="0" distL="0" distR="0" wp14:anchorId="2FB9B197" wp14:editId="7D27011E">
            <wp:extent cx="3206750" cy="7018020"/>
            <wp:effectExtent l="0" t="0" r="12700" b="11430"/>
            <wp:docPr id="1066563651" name="Chart 10665636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820D4">
        <w:tab/>
      </w:r>
      <w:r w:rsidR="009820D4">
        <w:rPr>
          <w:noProof/>
        </w:rPr>
        <w:drawing>
          <wp:inline distT="0" distB="0" distL="0" distR="0" wp14:anchorId="66A64DC8" wp14:editId="6444D4FD">
            <wp:extent cx="3206750" cy="6995160"/>
            <wp:effectExtent l="0" t="0" r="12700" b="15240"/>
            <wp:docPr id="78018286" name="Chart 780182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9A0E79" w:rsidSect="005F327C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4674" w14:textId="77777777" w:rsidR="005F327C" w:rsidRDefault="005F327C" w:rsidP="00637381">
      <w:pPr>
        <w:spacing w:after="0" w:line="240" w:lineRule="auto"/>
      </w:pPr>
      <w:r>
        <w:separator/>
      </w:r>
    </w:p>
  </w:endnote>
  <w:endnote w:type="continuationSeparator" w:id="0">
    <w:p w14:paraId="5F64779B" w14:textId="77777777" w:rsidR="005F327C" w:rsidRDefault="005F327C" w:rsidP="0063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8EBE" w14:textId="77777777" w:rsidR="005F327C" w:rsidRDefault="005F327C" w:rsidP="00637381">
      <w:pPr>
        <w:spacing w:after="0" w:line="240" w:lineRule="auto"/>
      </w:pPr>
      <w:r>
        <w:separator/>
      </w:r>
    </w:p>
  </w:footnote>
  <w:footnote w:type="continuationSeparator" w:id="0">
    <w:p w14:paraId="7139C725" w14:textId="77777777" w:rsidR="005F327C" w:rsidRDefault="005F327C" w:rsidP="0063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084F" w14:textId="60D1BC20" w:rsidR="00397EE4" w:rsidRPr="000134F6" w:rsidRDefault="00D34D88" w:rsidP="00397EE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State </w:t>
    </w:r>
    <w:r w:rsidR="00637381" w:rsidRPr="000134F6">
      <w:rPr>
        <w:b/>
        <w:bCs/>
        <w:sz w:val="28"/>
        <w:szCs w:val="28"/>
      </w:rPr>
      <w:t>Homeless Data</w:t>
    </w:r>
    <w:r w:rsidR="00397EE4" w:rsidRPr="000134F6">
      <w:rPr>
        <w:b/>
        <w:bCs/>
        <w:sz w:val="28"/>
        <w:szCs w:val="28"/>
      </w:rPr>
      <w:t xml:space="preserve"> Summary</w:t>
    </w:r>
  </w:p>
  <w:p w14:paraId="2047079E" w14:textId="38F05E7A" w:rsidR="00637381" w:rsidRPr="000134F6" w:rsidRDefault="009820D4" w:rsidP="00397EE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201</w:t>
    </w:r>
    <w:r w:rsidR="00D34D88">
      <w:rPr>
        <w:b/>
        <w:bCs/>
        <w:sz w:val="28"/>
        <w:szCs w:val="28"/>
      </w:rPr>
      <w:t>9</w:t>
    </w:r>
    <w:r>
      <w:rPr>
        <w:b/>
        <w:bCs/>
        <w:sz w:val="28"/>
        <w:szCs w:val="28"/>
      </w:rPr>
      <w:t>-20</w:t>
    </w:r>
    <w:r w:rsidR="00D34D88">
      <w:rPr>
        <w:b/>
        <w:bCs/>
        <w:sz w:val="28"/>
        <w:szCs w:val="28"/>
      </w:rPr>
      <w:t>20</w:t>
    </w:r>
    <w:r w:rsidR="00397EE4" w:rsidRPr="000134F6">
      <w:rPr>
        <w:b/>
        <w:bCs/>
        <w:sz w:val="28"/>
        <w:szCs w:val="28"/>
      </w:rPr>
      <w:t xml:space="preserve"> through October </w:t>
    </w:r>
    <w:r>
      <w:rPr>
        <w:b/>
        <w:bCs/>
        <w:sz w:val="28"/>
        <w:szCs w:val="28"/>
      </w:rPr>
      <w:t>202</w:t>
    </w:r>
    <w:r w:rsidR="00D34D88">
      <w:rPr>
        <w:b/>
        <w:bCs/>
        <w:sz w:val="28"/>
        <w:szCs w:val="28"/>
      </w:rPr>
      <w:t>3</w:t>
    </w:r>
    <w:r>
      <w:rPr>
        <w:b/>
        <w:bCs/>
        <w:sz w:val="28"/>
        <w:szCs w:val="28"/>
      </w:rPr>
      <w:t>-202</w:t>
    </w:r>
    <w:r w:rsidR="00D34D88">
      <w:rPr>
        <w:b/>
        <w:bCs/>
        <w:sz w:val="28"/>
        <w:szCs w:val="28"/>
      </w:rPr>
      <w:t>4</w:t>
    </w:r>
  </w:p>
  <w:p w14:paraId="4204C8F5" w14:textId="6EFA43AB" w:rsidR="00397EE4" w:rsidRDefault="00397EE4" w:rsidP="00397EE4">
    <w:pPr>
      <w:pStyle w:val="Header"/>
      <w:jc w:val="right"/>
      <w:rPr>
        <w:color w:val="002060"/>
        <w:u w:val="single"/>
      </w:rPr>
    </w:pPr>
  </w:p>
  <w:p w14:paraId="3871DB89" w14:textId="77777777" w:rsidR="003E22BC" w:rsidRPr="000134F6" w:rsidRDefault="003E22BC" w:rsidP="00397EE4">
    <w:pPr>
      <w:pStyle w:val="Header"/>
      <w:jc w:val="right"/>
      <w:rPr>
        <w:color w:val="00206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81"/>
    <w:rsid w:val="000061FE"/>
    <w:rsid w:val="000134F6"/>
    <w:rsid w:val="00013A59"/>
    <w:rsid w:val="00063CBF"/>
    <w:rsid w:val="00067236"/>
    <w:rsid w:val="000840CD"/>
    <w:rsid w:val="000B7EBB"/>
    <w:rsid w:val="000C5352"/>
    <w:rsid w:val="000F0FE1"/>
    <w:rsid w:val="001229A6"/>
    <w:rsid w:val="001566F9"/>
    <w:rsid w:val="001843E5"/>
    <w:rsid w:val="0019206C"/>
    <w:rsid w:val="001A068C"/>
    <w:rsid w:val="001D1D5E"/>
    <w:rsid w:val="001F38C8"/>
    <w:rsid w:val="002051C6"/>
    <w:rsid w:val="00222250"/>
    <w:rsid w:val="00223B24"/>
    <w:rsid w:val="002432E7"/>
    <w:rsid w:val="00264A9B"/>
    <w:rsid w:val="00290278"/>
    <w:rsid w:val="0029177F"/>
    <w:rsid w:val="00295DA5"/>
    <w:rsid w:val="002A5D84"/>
    <w:rsid w:val="002B7CB4"/>
    <w:rsid w:val="002E1367"/>
    <w:rsid w:val="00301CF4"/>
    <w:rsid w:val="00304042"/>
    <w:rsid w:val="00310D5A"/>
    <w:rsid w:val="00387C1C"/>
    <w:rsid w:val="00397EE4"/>
    <w:rsid w:val="003B61E0"/>
    <w:rsid w:val="003B6362"/>
    <w:rsid w:val="003C18F3"/>
    <w:rsid w:val="003D1FA1"/>
    <w:rsid w:val="003D6CCD"/>
    <w:rsid w:val="003E22BC"/>
    <w:rsid w:val="003E53EC"/>
    <w:rsid w:val="003F34A4"/>
    <w:rsid w:val="004041A6"/>
    <w:rsid w:val="00433F60"/>
    <w:rsid w:val="0044317F"/>
    <w:rsid w:val="00444DEF"/>
    <w:rsid w:val="00471051"/>
    <w:rsid w:val="00474159"/>
    <w:rsid w:val="004849A8"/>
    <w:rsid w:val="00485D83"/>
    <w:rsid w:val="00490070"/>
    <w:rsid w:val="004A146D"/>
    <w:rsid w:val="004C47D8"/>
    <w:rsid w:val="004E26C6"/>
    <w:rsid w:val="004F07C9"/>
    <w:rsid w:val="005045FA"/>
    <w:rsid w:val="00520EF3"/>
    <w:rsid w:val="0054720E"/>
    <w:rsid w:val="00550F3E"/>
    <w:rsid w:val="005B425A"/>
    <w:rsid w:val="005F327C"/>
    <w:rsid w:val="006224BB"/>
    <w:rsid w:val="0062598A"/>
    <w:rsid w:val="006339E7"/>
    <w:rsid w:val="00637381"/>
    <w:rsid w:val="006F374C"/>
    <w:rsid w:val="006F424D"/>
    <w:rsid w:val="007253B0"/>
    <w:rsid w:val="00737C6B"/>
    <w:rsid w:val="007853E8"/>
    <w:rsid w:val="00795B38"/>
    <w:rsid w:val="007A6CB2"/>
    <w:rsid w:val="007C3F9D"/>
    <w:rsid w:val="007C582E"/>
    <w:rsid w:val="007D5A7C"/>
    <w:rsid w:val="00800D78"/>
    <w:rsid w:val="00802A27"/>
    <w:rsid w:val="00804CB6"/>
    <w:rsid w:val="008165AC"/>
    <w:rsid w:val="008A1F0D"/>
    <w:rsid w:val="008A4490"/>
    <w:rsid w:val="008B27B1"/>
    <w:rsid w:val="008D07D4"/>
    <w:rsid w:val="008D2D7A"/>
    <w:rsid w:val="00903A17"/>
    <w:rsid w:val="0094403A"/>
    <w:rsid w:val="009623F3"/>
    <w:rsid w:val="009820D4"/>
    <w:rsid w:val="009823F0"/>
    <w:rsid w:val="00983ED0"/>
    <w:rsid w:val="009A0E79"/>
    <w:rsid w:val="009D357A"/>
    <w:rsid w:val="009D5FE5"/>
    <w:rsid w:val="00A01468"/>
    <w:rsid w:val="00A14178"/>
    <w:rsid w:val="00A16CA4"/>
    <w:rsid w:val="00A27C6E"/>
    <w:rsid w:val="00A27D57"/>
    <w:rsid w:val="00A479DB"/>
    <w:rsid w:val="00A661AB"/>
    <w:rsid w:val="00A70742"/>
    <w:rsid w:val="00AA7A3F"/>
    <w:rsid w:val="00AB3C9E"/>
    <w:rsid w:val="00AC039A"/>
    <w:rsid w:val="00AC0884"/>
    <w:rsid w:val="00AD70E7"/>
    <w:rsid w:val="00AF3851"/>
    <w:rsid w:val="00AF3B67"/>
    <w:rsid w:val="00B00D48"/>
    <w:rsid w:val="00B01F43"/>
    <w:rsid w:val="00B1112C"/>
    <w:rsid w:val="00B37FF9"/>
    <w:rsid w:val="00B43260"/>
    <w:rsid w:val="00B459DF"/>
    <w:rsid w:val="00B547D8"/>
    <w:rsid w:val="00B77284"/>
    <w:rsid w:val="00BC65D4"/>
    <w:rsid w:val="00BC7179"/>
    <w:rsid w:val="00BE1C16"/>
    <w:rsid w:val="00BF0247"/>
    <w:rsid w:val="00BF5885"/>
    <w:rsid w:val="00C2355E"/>
    <w:rsid w:val="00C24755"/>
    <w:rsid w:val="00C35C99"/>
    <w:rsid w:val="00C7435B"/>
    <w:rsid w:val="00C90376"/>
    <w:rsid w:val="00CA2B79"/>
    <w:rsid w:val="00CC2507"/>
    <w:rsid w:val="00D0550B"/>
    <w:rsid w:val="00D34D88"/>
    <w:rsid w:val="00D3660E"/>
    <w:rsid w:val="00D64E9A"/>
    <w:rsid w:val="00DC321E"/>
    <w:rsid w:val="00DE1C6B"/>
    <w:rsid w:val="00E55489"/>
    <w:rsid w:val="00EB1143"/>
    <w:rsid w:val="00EB4829"/>
    <w:rsid w:val="00EF490E"/>
    <w:rsid w:val="00F00336"/>
    <w:rsid w:val="00F108A0"/>
    <w:rsid w:val="00F23FFB"/>
    <w:rsid w:val="00F30A76"/>
    <w:rsid w:val="00F32F70"/>
    <w:rsid w:val="00F332C1"/>
    <w:rsid w:val="00F6770E"/>
    <w:rsid w:val="00F81FF6"/>
    <w:rsid w:val="00FE0ED4"/>
    <w:rsid w:val="00FF05CB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6A78"/>
  <w15:chartTrackingRefBased/>
  <w15:docId w15:val="{FDAE787A-7EEE-4987-9B6C-8087408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381"/>
  </w:style>
  <w:style w:type="paragraph" w:styleId="Footer">
    <w:name w:val="footer"/>
    <w:basedOn w:val="Normal"/>
    <w:link w:val="FooterChar"/>
    <w:uiPriority w:val="99"/>
    <w:unhideWhenUsed/>
    <w:rsid w:val="0063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381"/>
  </w:style>
  <w:style w:type="table" w:styleId="TableGrid">
    <w:name w:val="Table Grid"/>
    <w:basedOn w:val="TableNormal"/>
    <w:uiPriority w:val="39"/>
    <w:rsid w:val="0063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#</a:t>
            </a:r>
            <a:r>
              <a:rPr lang="en-US" sz="1000" baseline="0"/>
              <a:t> of Homeless Students</a:t>
            </a:r>
          </a:p>
          <a:p>
            <a:pPr>
              <a:defRPr/>
            </a:pPr>
            <a:r>
              <a:rPr lang="en-US" sz="1000" baseline="0"/>
              <a:t>Student October vs. Student End of Year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 # Homeless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2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13662</c:v>
                </c:pt>
                <c:pt idx="1">
                  <c:v>10997</c:v>
                </c:pt>
                <c:pt idx="2">
                  <c:v>11868</c:v>
                </c:pt>
                <c:pt idx="3">
                  <c:v>12562</c:v>
                </c:pt>
                <c:pt idx="4">
                  <c:v>14132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58-4814-BE7A-629E69EE759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SEY # Homeless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19103</c:v>
                </c:pt>
                <c:pt idx="1">
                  <c:v>14407</c:v>
                </c:pt>
                <c:pt idx="2">
                  <c:v>16542</c:v>
                </c:pt>
                <c:pt idx="3">
                  <c:v>17917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58-4814-BE7A-629E69EE7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5113872"/>
        <c:axId val="1095114704"/>
      </c:barChart>
      <c:catAx>
        <c:axId val="109511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114704"/>
        <c:crosses val="autoZero"/>
        <c:auto val="1"/>
        <c:lblAlgn val="ctr"/>
        <c:lblOffset val="100"/>
        <c:noMultiLvlLbl val="0"/>
      </c:catAx>
      <c:valAx>
        <c:axId val="1095114704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11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Homeless</a:t>
            </a:r>
            <a:r>
              <a:rPr lang="en-US" sz="1000" baseline="0"/>
              <a:t> % of Total Students</a:t>
            </a:r>
            <a:br>
              <a:rPr lang="en-US" sz="1000" baseline="0"/>
            </a:br>
            <a:r>
              <a:rPr lang="en-US" sz="1000" baseline="0"/>
              <a:t>Student October vs. Student End of Year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 % Homeless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1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1.4960201396592069E-2</c:v>
                </c:pt>
                <c:pt idx="1">
                  <c:v>1.2451327503767554E-2</c:v>
                </c:pt>
                <c:pt idx="2">
                  <c:v>1.3387222128848065E-2</c:v>
                </c:pt>
                <c:pt idx="3">
                  <c:v>1.4222248387797986E-2</c:v>
                </c:pt>
                <c:pt idx="4">
                  <c:v>1.6032418794187851E-2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53-466E-802F-F91762AD6F0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SEY % Homeless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5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5"/>
                <c:pt idx="0">
                  <c:v>1.9868575969247026E-2</c:v>
                </c:pt>
                <c:pt idx="1">
                  <c:v>1.521004473169954E-2</c:v>
                </c:pt>
                <c:pt idx="2">
                  <c:v>1.7520335536349772E-2</c:v>
                </c:pt>
                <c:pt idx="3">
                  <c:v>1.9148169878690141E-2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53-466E-802F-F91762AD6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6149232"/>
        <c:axId val="2026153392"/>
      </c:lineChart>
      <c:catAx>
        <c:axId val="202614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6153392"/>
        <c:crosses val="autoZero"/>
        <c:auto val="1"/>
        <c:lblAlgn val="ctr"/>
        <c:lblOffset val="100"/>
        <c:noMultiLvlLbl val="0"/>
      </c:catAx>
      <c:valAx>
        <c:axId val="202615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614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Student</a:t>
            </a:r>
            <a:r>
              <a:rPr lang="en-US" sz="1000" baseline="0"/>
              <a:t> October</a:t>
            </a:r>
          </a:p>
          <a:p>
            <a:pPr>
              <a:defRPr/>
            </a:pPr>
            <a:r>
              <a:rPr lang="en-US" sz="900" baseline="0"/>
              <a:t>Accompanied Minors vs. Unaccompanied Minors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Accompanied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12304</c:v>
                </c:pt>
                <c:pt idx="1">
                  <c:v>9966</c:v>
                </c:pt>
                <c:pt idx="2">
                  <c:v>10562</c:v>
                </c:pt>
                <c:pt idx="3">
                  <c:v>11363</c:v>
                </c:pt>
                <c:pt idx="4">
                  <c:v>12874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D3-4406-B41A-A0AB3C85EE8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Unaccompanied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1358</c:v>
                </c:pt>
                <c:pt idx="1">
                  <c:v>1031</c:v>
                </c:pt>
                <c:pt idx="2">
                  <c:v>1306</c:v>
                </c:pt>
                <c:pt idx="3">
                  <c:v>1199</c:v>
                </c:pt>
                <c:pt idx="4">
                  <c:v>1258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D3-4406-B41A-A0AB3C85E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35821824"/>
        <c:axId val="2035828480"/>
      </c:barChart>
      <c:catAx>
        <c:axId val="203582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5828480"/>
        <c:crosses val="autoZero"/>
        <c:auto val="1"/>
        <c:lblAlgn val="ctr"/>
        <c:lblOffset val="100"/>
        <c:noMultiLvlLbl val="0"/>
      </c:catAx>
      <c:valAx>
        <c:axId val="2035828480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582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Student</a:t>
            </a:r>
            <a:r>
              <a:rPr lang="en-US" sz="1000" baseline="0"/>
              <a:t> End of Year</a:t>
            </a:r>
          </a:p>
          <a:p>
            <a:pPr>
              <a:defRPr/>
            </a:pPr>
            <a:r>
              <a:rPr lang="en-US" sz="900" baseline="0"/>
              <a:t>Accompanied Minors vs. Unaccompanied Minors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Accompanied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16919</c:v>
                </c:pt>
                <c:pt idx="1">
                  <c:v>12806</c:v>
                </c:pt>
                <c:pt idx="2">
                  <c:v>14508</c:v>
                </c:pt>
                <c:pt idx="3">
                  <c:v>15871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0-45D3-8A3A-CA2EE3F57E5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Unaccompanied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2184</c:v>
                </c:pt>
                <c:pt idx="1">
                  <c:v>1601</c:v>
                </c:pt>
                <c:pt idx="2">
                  <c:v>2034</c:v>
                </c:pt>
                <c:pt idx="3">
                  <c:v>2046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30-45D3-8A3A-CA2EE3F57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35821824"/>
        <c:axId val="2035828480"/>
      </c:barChart>
      <c:catAx>
        <c:axId val="203582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5828480"/>
        <c:crosses val="autoZero"/>
        <c:auto val="1"/>
        <c:lblAlgn val="ctr"/>
        <c:lblOffset val="100"/>
        <c:noMultiLvlLbl val="0"/>
      </c:catAx>
      <c:valAx>
        <c:axId val="2035828480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582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OCT: Primary Nighttime Residence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Shelters/Transitional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1805</c:v>
                </c:pt>
                <c:pt idx="1">
                  <c:v>1178</c:v>
                </c:pt>
                <c:pt idx="2">
                  <c:v>1451</c:v>
                </c:pt>
                <c:pt idx="3">
                  <c:v>1648</c:v>
                </c:pt>
                <c:pt idx="4">
                  <c:v>1900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16-4B73-8059-FAFC91AE485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Doubled Up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10142</c:v>
                </c:pt>
                <c:pt idx="1">
                  <c:v>8392</c:v>
                </c:pt>
                <c:pt idx="2">
                  <c:v>8659</c:v>
                </c:pt>
                <c:pt idx="3">
                  <c:v>9000</c:v>
                </c:pt>
                <c:pt idx="4">
                  <c:v>10206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16-4B73-8059-FAFC91AE485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Unsheltered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646</c:v>
                </c:pt>
                <c:pt idx="1">
                  <c:v>537</c:v>
                </c:pt>
                <c:pt idx="2">
                  <c:v>714</c:v>
                </c:pt>
                <c:pt idx="3">
                  <c:v>753</c:v>
                </c:pt>
                <c:pt idx="4">
                  <c:v>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16-4B73-8059-FAFC91AE485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Hotels/Motels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1069</c:v>
                </c:pt>
                <c:pt idx="1">
                  <c:v>890</c:v>
                </c:pt>
                <c:pt idx="2">
                  <c:v>1044</c:v>
                </c:pt>
                <c:pt idx="3">
                  <c:v>1161</c:v>
                </c:pt>
                <c:pt idx="4">
                  <c:v>1269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16-4B73-8059-FAFC91AE4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67564272"/>
        <c:axId val="2067568016"/>
      </c:barChart>
      <c:catAx>
        <c:axId val="206756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68016"/>
        <c:crosses val="autoZero"/>
        <c:auto val="1"/>
        <c:lblAlgn val="ctr"/>
        <c:lblOffset val="100"/>
        <c:noMultiLvlLbl val="0"/>
      </c:catAx>
      <c:valAx>
        <c:axId val="206756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6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328993529274195E-2"/>
          <c:y val="0.84226706713207244"/>
          <c:w val="0.87926280502065957"/>
          <c:h val="0.132990664826690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SEY: Primary Nighttime Residence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Shelters/Transitional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2353</c:v>
                </c:pt>
                <c:pt idx="1">
                  <c:v>1488</c:v>
                </c:pt>
                <c:pt idx="2">
                  <c:v>1993</c:v>
                </c:pt>
                <c:pt idx="3">
                  <c:v>2196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D-49AC-B1F2-5744996706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Doubled Up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13915</c:v>
                </c:pt>
                <c:pt idx="1">
                  <c:v>10689</c:v>
                </c:pt>
                <c:pt idx="2">
                  <c:v>11979</c:v>
                </c:pt>
                <c:pt idx="3">
                  <c:v>12639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3D-49AC-B1F2-5744996706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Unsheltered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986</c:v>
                </c:pt>
                <c:pt idx="1">
                  <c:v>780</c:v>
                </c:pt>
                <c:pt idx="2">
                  <c:v>937</c:v>
                </c:pt>
                <c:pt idx="3">
                  <c:v>1038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3D-49AC-B1F2-57449967068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Hotels/Motels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1849</c:v>
                </c:pt>
                <c:pt idx="1">
                  <c:v>1450</c:v>
                </c:pt>
                <c:pt idx="2">
                  <c:v>1633</c:v>
                </c:pt>
                <c:pt idx="3">
                  <c:v>2044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3D-49AC-B1F2-574499670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67564272"/>
        <c:axId val="2067568016"/>
      </c:barChart>
      <c:catAx>
        <c:axId val="206756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68016"/>
        <c:crosses val="autoZero"/>
        <c:auto val="1"/>
        <c:lblAlgn val="ctr"/>
        <c:lblOffset val="100"/>
        <c:noMultiLvlLbl val="0"/>
      </c:catAx>
      <c:valAx>
        <c:axId val="206756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6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674673779367843"/>
          <c:y val="0.84259162049188296"/>
          <c:w val="0.8316992221814058"/>
          <c:h val="0.132717021483425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OCT: Cause of Housing Crisis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Eviction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2876</c:v>
                </c:pt>
                <c:pt idx="1">
                  <c:v>3834</c:v>
                </c:pt>
                <c:pt idx="2">
                  <c:v>4240</c:v>
                </c:pt>
                <c:pt idx="3">
                  <c:v>5444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B5-4129-B17A-AA4379CB2D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Domestic Factor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1796</c:v>
                </c:pt>
                <c:pt idx="1">
                  <c:v>2728</c:v>
                </c:pt>
                <c:pt idx="2">
                  <c:v>3102</c:v>
                </c:pt>
                <c:pt idx="3">
                  <c:v>3028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B5-4129-B17A-AA4379CB2D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Job Loss/Seasonal Employee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1652</c:v>
                </c:pt>
                <c:pt idx="1">
                  <c:v>1333</c:v>
                </c:pt>
                <c:pt idx="2">
                  <c:v>1183</c:v>
                </c:pt>
                <c:pt idx="3">
                  <c:v>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B5-4129-B17A-AA4379CB2DC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Natural Disaster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65</c:v>
                </c:pt>
                <c:pt idx="1">
                  <c:v>81</c:v>
                </c:pt>
                <c:pt idx="2">
                  <c:v>203</c:v>
                </c:pt>
                <c:pt idx="3">
                  <c:v>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B5-4129-B17A-AA4379CB2DC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Pandemic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769</c:v>
                </c:pt>
                <c:pt idx="1">
                  <c:v>984</c:v>
                </c:pt>
                <c:pt idx="2">
                  <c:v>1202</c:v>
                </c:pt>
                <c:pt idx="3">
                  <c:v>1306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B5-4129-B17A-AA4379CB2DC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Decline to Answer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0</c:v>
                </c:pt>
                <c:pt idx="1">
                  <c:v>344</c:v>
                </c:pt>
                <c:pt idx="2">
                  <c:v>276</c:v>
                </c:pt>
                <c:pt idx="3">
                  <c:v>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1B5-4129-B17A-AA4379CB2DC3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Other Cause</c:v>
                </c:pt>
              </c:strCache>
            </c:strRef>
          </c:tx>
          <c:spPr>
            <a:solidFill>
              <a:srgbClr val="CC00CC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3830</c:v>
                </c:pt>
                <c:pt idx="1">
                  <c:v>2563</c:v>
                </c:pt>
                <c:pt idx="2">
                  <c:v>2356</c:v>
                </c:pt>
                <c:pt idx="3">
                  <c:v>2742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B5-4129-B17A-AA4379CB2D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67564272"/>
        <c:axId val="2067568016"/>
      </c:barChart>
      <c:catAx>
        <c:axId val="206756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68016"/>
        <c:crosses val="autoZero"/>
        <c:auto val="1"/>
        <c:lblAlgn val="ctr"/>
        <c:lblOffset val="100"/>
        <c:noMultiLvlLbl val="0"/>
      </c:catAx>
      <c:valAx>
        <c:axId val="206756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6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OCT: Additional Cause of Housing Crisis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None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5213</c:v>
                </c:pt>
                <c:pt idx="1">
                  <c:v>4450</c:v>
                </c:pt>
                <c:pt idx="2">
                  <c:v>5085</c:v>
                </c:pt>
                <c:pt idx="3">
                  <c:v>6785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12-42FD-99BD-A1697AAE59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Eviction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1240</c:v>
                </c:pt>
                <c:pt idx="1">
                  <c:v>1316</c:v>
                </c:pt>
                <c:pt idx="2">
                  <c:v>1373</c:v>
                </c:pt>
                <c:pt idx="3">
                  <c:v>1644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12-42FD-99BD-A1697AAE59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Domestic Factor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425</c:v>
                </c:pt>
                <c:pt idx="1">
                  <c:v>807</c:v>
                </c:pt>
                <c:pt idx="2">
                  <c:v>1014</c:v>
                </c:pt>
                <c:pt idx="3">
                  <c:v>1087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12-42FD-99BD-A1697AAE59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Job Loss/ Seasonal Employee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1148</c:v>
                </c:pt>
                <c:pt idx="1">
                  <c:v>1507</c:v>
                </c:pt>
                <c:pt idx="2">
                  <c:v>2036</c:v>
                </c:pt>
                <c:pt idx="3">
                  <c:v>2276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12-42FD-99BD-A1697AAE59D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Natural Disaster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30</c:v>
                </c:pt>
                <c:pt idx="1">
                  <c:v>21</c:v>
                </c:pt>
                <c:pt idx="2">
                  <c:v>15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12-42FD-99BD-A1697AAE59D1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Pandemic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871</c:v>
                </c:pt>
                <c:pt idx="1">
                  <c:v>743</c:v>
                </c:pt>
                <c:pt idx="2">
                  <c:v>256</c:v>
                </c:pt>
                <c:pt idx="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12-42FD-99BD-A1697AAE59D1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Decline to Answer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0</c:v>
                </c:pt>
                <c:pt idx="1">
                  <c:v>87</c:v>
                </c:pt>
                <c:pt idx="2">
                  <c:v>17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912-42FD-99BD-A1697AAE59D1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Other Cause</c:v>
                </c:pt>
              </c:strCache>
            </c:strRef>
          </c:tx>
          <c:spPr>
            <a:solidFill>
              <a:srgbClr val="CC00CC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Sheet1!$I$2:$I$5</c:f>
              <c:numCache>
                <c:formatCode>General</c:formatCode>
                <c:ptCount val="4"/>
                <c:pt idx="0">
                  <c:v>2061</c:v>
                </c:pt>
                <c:pt idx="1">
                  <c:v>2933</c:v>
                </c:pt>
                <c:pt idx="2">
                  <c:v>2766</c:v>
                </c:pt>
                <c:pt idx="3">
                  <c:v>2200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912-42FD-99BD-A1697AAE5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67564272"/>
        <c:axId val="2067568016"/>
      </c:barChart>
      <c:catAx>
        <c:axId val="206756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68016"/>
        <c:crosses val="autoZero"/>
        <c:auto val="1"/>
        <c:lblAlgn val="ctr"/>
        <c:lblOffset val="100"/>
        <c:noMultiLvlLbl val="0"/>
      </c:catAx>
      <c:valAx>
        <c:axId val="206756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6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3CD84978BF3488EF66ED3AB8B5325" ma:contentTypeVersion="2" ma:contentTypeDescription="Create a new document." ma:contentTypeScope="" ma:versionID="1dffe9668d72aadd97cb0d70e8b620bb">
  <xsd:schema xmlns:xsd="http://www.w3.org/2001/XMLSchema" xmlns:xs="http://www.w3.org/2001/XMLSchema" xmlns:p="http://schemas.microsoft.com/office/2006/metadata/properties" xmlns:ns2="11f5e03b-bdcb-4429-b0eb-ca13cd4d191c" targetNamespace="http://schemas.microsoft.com/office/2006/metadata/properties" ma:root="true" ma:fieldsID="db24d5b28afd1e9e10690f187b8b33f3" ns2:_="">
    <xsd:import namespace="11f5e03b-bdcb-4429-b0eb-ca13cd4d1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5e03b-bdcb-4429-b0eb-ca13cd4d1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57C4B-3198-4FE5-9F40-C42F472A2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5691B-30AF-47A4-8F88-93322925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5e03b-bdcb-4429-b0eb-ca13cd4d1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1A5DA-3FD1-4B7D-9D29-D0F0FCD68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F796A-0E1E-4FBC-94CD-06097070FE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Reagan</dc:creator>
  <cp:keywords/>
  <dc:description/>
  <cp:lastModifiedBy>Brett, Bonnie</cp:lastModifiedBy>
  <cp:revision>30</cp:revision>
  <dcterms:created xsi:type="dcterms:W3CDTF">2024-02-01T17:08:00Z</dcterms:created>
  <dcterms:modified xsi:type="dcterms:W3CDTF">2024-02-01T20:34:00Z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0x0101007F03CD84978BF3488EF66ED3AB8B5325</vt:lpwstr>
  </property>
</Properties>
</file>