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B2CFD" w14:textId="77777777" w:rsidR="00C8736B" w:rsidRDefault="00C8736B" w:rsidP="008215D8">
      <w:pPr>
        <w:rPr>
          <w:color w:val="000000" w:themeColor="text1"/>
        </w:rPr>
      </w:pPr>
      <w:bookmarkStart w:id="0" w:name="_GoBack"/>
      <w:bookmarkEnd w:id="0"/>
    </w:p>
    <w:p w14:paraId="6D1541D0" w14:textId="77777777" w:rsidR="00B30A59" w:rsidRPr="008C5CE8" w:rsidRDefault="00B30A59" w:rsidP="00B30A59">
      <w:pPr>
        <w:pStyle w:val="Heading1"/>
        <w:jc w:val="center"/>
        <w:rPr>
          <w:rFonts w:asciiTheme="minorHAnsi" w:eastAsia="Times New Roman" w:hAnsiTheme="minorHAnsi"/>
          <w:b/>
          <w:bCs/>
          <w:i/>
          <w:color w:val="595959" w:themeColor="text1" w:themeTint="A6"/>
          <w:sz w:val="24"/>
          <w:szCs w:val="24"/>
        </w:rPr>
      </w:pPr>
      <w:r w:rsidRPr="008C5CE8">
        <w:rPr>
          <w:rFonts w:asciiTheme="minorHAnsi" w:eastAsia="Times New Roman" w:hAnsiTheme="minorHAnsi"/>
          <w:b/>
          <w:bCs/>
          <w:i/>
          <w:color w:val="595959" w:themeColor="text1" w:themeTint="A6"/>
          <w:sz w:val="24"/>
          <w:szCs w:val="24"/>
        </w:rPr>
        <w:t>HB 18-1005: The Concurrent Enrollment Notification Bill</w:t>
      </w:r>
    </w:p>
    <w:p w14:paraId="638AAEC3" w14:textId="77777777" w:rsidR="00B30A59" w:rsidRPr="0038403C" w:rsidRDefault="00B30A59" w:rsidP="00B30A59">
      <w:pPr>
        <w:rPr>
          <w:rFonts w:asciiTheme="minorHAnsi" w:eastAsiaTheme="minorHAnsi" w:hAnsiTheme="minorHAnsi"/>
          <w:i/>
          <w:color w:val="595959" w:themeColor="text1" w:themeTint="A6"/>
        </w:rPr>
      </w:pPr>
    </w:p>
    <w:p w14:paraId="5A5F65C0" w14:textId="7F5CE7B4" w:rsidR="00B30A59" w:rsidRDefault="00B30A59" w:rsidP="00B30A59">
      <w:pPr>
        <w:rPr>
          <w:rFonts w:asciiTheme="minorHAnsi" w:hAnsiTheme="minorHAnsi"/>
          <w:i/>
          <w:color w:val="595959" w:themeColor="text1" w:themeTint="A6"/>
        </w:rPr>
      </w:pPr>
      <w:r w:rsidRPr="0038403C">
        <w:rPr>
          <w:rFonts w:asciiTheme="minorHAnsi" w:hAnsiTheme="minorHAnsi"/>
          <w:i/>
          <w:color w:val="595959" w:themeColor="text1" w:themeTint="A6"/>
        </w:rPr>
        <w:t xml:space="preserve">This bill provides clarification to local education providers (LEPs) for communicating beyond </w:t>
      </w:r>
      <w:r w:rsidRPr="0038403C">
        <w:rPr>
          <w:rFonts w:asciiTheme="minorHAnsi" w:hAnsiTheme="minorHAnsi"/>
          <w:i/>
          <w:iCs/>
          <w:color w:val="595959" w:themeColor="text1" w:themeTint="A6"/>
        </w:rPr>
        <w:t>previously-existing</w:t>
      </w:r>
      <w:r w:rsidRPr="0038403C">
        <w:rPr>
          <w:rFonts w:asciiTheme="minorHAnsi" w:hAnsiTheme="minorHAnsi"/>
          <w:i/>
          <w:color w:val="595959" w:themeColor="text1" w:themeTint="A6"/>
        </w:rPr>
        <w:t xml:space="preserve"> statute</w:t>
      </w:r>
      <w:r w:rsidR="0038403C" w:rsidRPr="0038403C">
        <w:rPr>
          <w:rFonts w:asciiTheme="minorHAnsi" w:hAnsiTheme="minorHAnsi"/>
          <w:i/>
          <w:color w:val="595959" w:themeColor="text1" w:themeTint="A6"/>
        </w:rPr>
        <w:t xml:space="preserve"> (HB 16-1144)</w:t>
      </w:r>
      <w:r w:rsidRPr="0038403C">
        <w:rPr>
          <w:rFonts w:asciiTheme="minorHAnsi" w:hAnsiTheme="minorHAnsi"/>
          <w:i/>
          <w:color w:val="595959" w:themeColor="text1" w:themeTint="A6"/>
        </w:rPr>
        <w:t xml:space="preserve"> requirements about concurrent enrollment </w:t>
      </w:r>
      <w:r w:rsidR="00C402F0" w:rsidRPr="000A6E31">
        <w:rPr>
          <w:rFonts w:asciiTheme="minorHAnsi" w:hAnsiTheme="minorHAnsi"/>
          <w:i/>
          <w:color w:val="595959" w:themeColor="text1" w:themeTint="A6"/>
        </w:rPr>
        <w:t>and all postsecondary</w:t>
      </w:r>
      <w:r w:rsidR="00C402F0" w:rsidRPr="000A6E31">
        <w:rPr>
          <w:rFonts w:asciiTheme="minorHAnsi" w:hAnsiTheme="minorHAnsi"/>
          <w:i/>
          <w:color w:val="000000" w:themeColor="text1"/>
        </w:rPr>
        <w:t xml:space="preserve"> </w:t>
      </w:r>
      <w:r w:rsidRPr="0038403C">
        <w:rPr>
          <w:rFonts w:asciiTheme="minorHAnsi" w:hAnsiTheme="minorHAnsi"/>
          <w:i/>
          <w:color w:val="595959" w:themeColor="text1" w:themeTint="A6"/>
        </w:rPr>
        <w:t>courses available to their students. The intent of the legislation</w:t>
      </w:r>
      <w:r w:rsidR="00CC75D6">
        <w:rPr>
          <w:rFonts w:asciiTheme="minorHAnsi" w:hAnsiTheme="minorHAnsi"/>
          <w:i/>
          <w:color w:val="595959" w:themeColor="text1" w:themeTint="A6"/>
        </w:rPr>
        <w:t xml:space="preserve">, which </w:t>
      </w:r>
      <w:r w:rsidR="00CC75D6" w:rsidRPr="008F6E97">
        <w:rPr>
          <w:rFonts w:asciiTheme="minorHAnsi" w:hAnsiTheme="minorHAnsi"/>
          <w:b/>
          <w:i/>
          <w:color w:val="595959" w:themeColor="text1" w:themeTint="A6"/>
        </w:rPr>
        <w:t>takes effect August 8, 2018</w:t>
      </w:r>
      <w:r w:rsidR="00CC75D6">
        <w:rPr>
          <w:rFonts w:asciiTheme="minorHAnsi" w:hAnsiTheme="minorHAnsi"/>
          <w:i/>
          <w:color w:val="595959" w:themeColor="text1" w:themeTint="A6"/>
        </w:rPr>
        <w:t>,</w:t>
      </w:r>
      <w:r w:rsidRPr="0038403C">
        <w:rPr>
          <w:rFonts w:asciiTheme="minorHAnsi" w:hAnsiTheme="minorHAnsi"/>
          <w:i/>
          <w:color w:val="595959" w:themeColor="text1" w:themeTint="A6"/>
        </w:rPr>
        <w:t xml:space="preserve"> is for LEPs to communicate with students/parents</w:t>
      </w:r>
      <w:r w:rsidR="00827F1C">
        <w:rPr>
          <w:rFonts w:asciiTheme="minorHAnsi" w:hAnsiTheme="minorHAnsi"/>
          <w:i/>
          <w:color w:val="595959" w:themeColor="text1" w:themeTint="A6"/>
        </w:rPr>
        <w:t>/</w:t>
      </w:r>
      <w:r w:rsidRPr="0038403C">
        <w:rPr>
          <w:rFonts w:asciiTheme="minorHAnsi" w:hAnsiTheme="minorHAnsi"/>
          <w:i/>
          <w:color w:val="595959" w:themeColor="text1" w:themeTint="A6"/>
        </w:rPr>
        <w:t>guardians the specific benefits of completing concurrent enrollment courses and to specify the timelines for distribution of notice that affect student eligibility to take these courses.</w:t>
      </w:r>
    </w:p>
    <w:p w14:paraId="311C0A6D" w14:textId="77777777" w:rsidR="00D76FDD" w:rsidRPr="0038403C" w:rsidRDefault="00D76FDD" w:rsidP="00B30A59">
      <w:pPr>
        <w:rPr>
          <w:rFonts w:asciiTheme="minorHAnsi" w:hAnsiTheme="minorHAnsi"/>
          <w:i/>
          <w:color w:val="595959" w:themeColor="text1" w:themeTint="A6"/>
        </w:rPr>
      </w:pPr>
    </w:p>
    <w:p w14:paraId="18CF5AB5" w14:textId="1C9CD951" w:rsidR="00B30A59" w:rsidRPr="0038403C" w:rsidRDefault="00B30A59" w:rsidP="00B30A59">
      <w:pPr>
        <w:pStyle w:val="ListParagraph"/>
        <w:autoSpaceDE w:val="0"/>
        <w:autoSpaceDN w:val="0"/>
        <w:spacing w:after="0" w:line="240" w:lineRule="auto"/>
        <w:ind w:hanging="360"/>
        <w:rPr>
          <w:i/>
          <w:color w:val="595959" w:themeColor="text1" w:themeTint="A6"/>
        </w:rPr>
      </w:pPr>
      <w:r w:rsidRPr="0038403C">
        <w:rPr>
          <w:i/>
          <w:color w:val="595959" w:themeColor="text1" w:themeTint="A6"/>
        </w:rPr>
        <w:t xml:space="preserve">1.     The notice must describe the financial, academic and career benefits of </w:t>
      </w:r>
      <w:r w:rsidR="009A5336">
        <w:rPr>
          <w:i/>
          <w:color w:val="595959" w:themeColor="text1" w:themeTint="A6"/>
        </w:rPr>
        <w:t>each C</w:t>
      </w:r>
      <w:r w:rsidRPr="0038403C">
        <w:rPr>
          <w:i/>
          <w:color w:val="595959" w:themeColor="text1" w:themeTint="A6"/>
        </w:rPr>
        <w:t xml:space="preserve">oncurrent </w:t>
      </w:r>
      <w:r w:rsidR="009A5336">
        <w:rPr>
          <w:i/>
          <w:color w:val="595959" w:themeColor="text1" w:themeTint="A6"/>
        </w:rPr>
        <w:t>E</w:t>
      </w:r>
      <w:r w:rsidRPr="0038403C">
        <w:rPr>
          <w:i/>
          <w:color w:val="595959" w:themeColor="text1" w:themeTint="A6"/>
        </w:rPr>
        <w:t>nrollment</w:t>
      </w:r>
      <w:r w:rsidR="009A5336">
        <w:rPr>
          <w:i/>
          <w:color w:val="595959" w:themeColor="text1" w:themeTint="A6"/>
        </w:rPr>
        <w:t xml:space="preserve"> course offered</w:t>
      </w:r>
      <w:r w:rsidRPr="0038403C">
        <w:rPr>
          <w:i/>
          <w:color w:val="595959" w:themeColor="text1" w:themeTint="A6"/>
        </w:rPr>
        <w:t>:</w:t>
      </w:r>
    </w:p>
    <w:p w14:paraId="19E525AD" w14:textId="52929E42" w:rsidR="00B30A59" w:rsidRPr="0038403C" w:rsidRDefault="00B30A59" w:rsidP="00827F1C">
      <w:pPr>
        <w:pStyle w:val="ListParagraph"/>
        <w:numPr>
          <w:ilvl w:val="0"/>
          <w:numId w:val="3"/>
        </w:numPr>
        <w:rPr>
          <w:i/>
          <w:color w:val="595959" w:themeColor="text1" w:themeTint="A6"/>
        </w:rPr>
      </w:pPr>
      <w:r w:rsidRPr="0038403C">
        <w:rPr>
          <w:i/>
          <w:color w:val="595959" w:themeColor="text1" w:themeTint="A6"/>
        </w:rPr>
        <w:t xml:space="preserve">Low </w:t>
      </w:r>
      <w:r w:rsidR="0016663B">
        <w:rPr>
          <w:i/>
          <w:color w:val="595959" w:themeColor="text1" w:themeTint="A6"/>
        </w:rPr>
        <w:t xml:space="preserve">to no </w:t>
      </w:r>
      <w:r w:rsidRPr="0038403C">
        <w:rPr>
          <w:i/>
          <w:color w:val="595959" w:themeColor="text1" w:themeTint="A6"/>
        </w:rPr>
        <w:t xml:space="preserve">cost </w:t>
      </w:r>
      <w:r w:rsidR="0016663B">
        <w:rPr>
          <w:i/>
          <w:color w:val="595959" w:themeColor="text1" w:themeTint="A6"/>
        </w:rPr>
        <w:t>for students/families</w:t>
      </w:r>
    </w:p>
    <w:p w14:paraId="06E311ED" w14:textId="43330B40" w:rsidR="00B30A59" w:rsidRPr="0038403C" w:rsidRDefault="00B30A59" w:rsidP="00827F1C">
      <w:pPr>
        <w:pStyle w:val="ListParagraph"/>
        <w:numPr>
          <w:ilvl w:val="0"/>
          <w:numId w:val="3"/>
        </w:numPr>
        <w:rPr>
          <w:i/>
          <w:color w:val="595959" w:themeColor="text1" w:themeTint="A6"/>
        </w:rPr>
      </w:pPr>
      <w:r w:rsidRPr="0038403C">
        <w:rPr>
          <w:i/>
          <w:color w:val="595959" w:themeColor="text1" w:themeTint="A6"/>
        </w:rPr>
        <w:t>Transferability of college credits to postsecondary institutions</w:t>
      </w:r>
    </w:p>
    <w:p w14:paraId="50336DCA" w14:textId="18435BA3" w:rsidR="00B30A59" w:rsidRPr="0038403C" w:rsidRDefault="00B30A59" w:rsidP="00827F1C">
      <w:pPr>
        <w:pStyle w:val="ListParagraph"/>
        <w:numPr>
          <w:ilvl w:val="0"/>
          <w:numId w:val="3"/>
        </w:numPr>
        <w:rPr>
          <w:i/>
          <w:color w:val="595959" w:themeColor="text1" w:themeTint="A6"/>
        </w:rPr>
      </w:pPr>
      <w:r w:rsidRPr="0038403C">
        <w:rPr>
          <w:i/>
          <w:color w:val="595959" w:themeColor="text1" w:themeTint="A6"/>
        </w:rPr>
        <w:t>Increased college attendance and graduation of participants</w:t>
      </w:r>
    </w:p>
    <w:p w14:paraId="6007BD2A" w14:textId="6B1F3755" w:rsidR="00B30A59" w:rsidRPr="0038403C" w:rsidRDefault="00B30A59" w:rsidP="00827F1C">
      <w:pPr>
        <w:pStyle w:val="ListParagraph"/>
        <w:numPr>
          <w:ilvl w:val="0"/>
          <w:numId w:val="3"/>
        </w:numPr>
        <w:rPr>
          <w:i/>
          <w:color w:val="595959" w:themeColor="text1" w:themeTint="A6"/>
        </w:rPr>
      </w:pPr>
      <w:r w:rsidRPr="0038403C">
        <w:rPr>
          <w:i/>
          <w:color w:val="595959" w:themeColor="text1" w:themeTint="A6"/>
        </w:rPr>
        <w:t>Increased workforce preparedness of participants</w:t>
      </w:r>
    </w:p>
    <w:p w14:paraId="58CE9BD1" w14:textId="77777777" w:rsidR="00D76FDD" w:rsidRDefault="00B30A59" w:rsidP="00D76FDD">
      <w:pPr>
        <w:pStyle w:val="ListParagraph"/>
        <w:autoSpaceDE w:val="0"/>
        <w:autoSpaceDN w:val="0"/>
        <w:spacing w:after="0" w:line="240" w:lineRule="auto"/>
        <w:ind w:hanging="360"/>
        <w:rPr>
          <w:i/>
          <w:color w:val="595959" w:themeColor="text1" w:themeTint="A6"/>
        </w:rPr>
      </w:pPr>
      <w:r w:rsidRPr="0038403C">
        <w:rPr>
          <w:i/>
          <w:color w:val="595959" w:themeColor="text1" w:themeTint="A6"/>
        </w:rPr>
        <w:t xml:space="preserve">2.     The notice must also include: </w:t>
      </w:r>
    </w:p>
    <w:p w14:paraId="52D82A96" w14:textId="093C8209" w:rsidR="00B30A59" w:rsidRPr="00D76FDD" w:rsidRDefault="00B30A59" w:rsidP="00D76FDD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i/>
          <w:color w:val="595959" w:themeColor="text1" w:themeTint="A6"/>
        </w:rPr>
      </w:pPr>
      <w:r w:rsidRPr="00D76FDD">
        <w:rPr>
          <w:i/>
          <w:color w:val="595959" w:themeColor="text1" w:themeTint="A6"/>
        </w:rPr>
        <w:t xml:space="preserve">Postsecondary courses available at the LEP’s facilities and the cost </w:t>
      </w:r>
    </w:p>
    <w:p w14:paraId="49E69D99" w14:textId="0DD42C37" w:rsidR="00B30A59" w:rsidRDefault="00B30A59" w:rsidP="00D76FDD">
      <w:pPr>
        <w:pStyle w:val="ListParagraph"/>
        <w:numPr>
          <w:ilvl w:val="0"/>
          <w:numId w:val="8"/>
        </w:numPr>
        <w:autoSpaceDE w:val="0"/>
        <w:autoSpaceDN w:val="0"/>
        <w:rPr>
          <w:i/>
          <w:color w:val="595959" w:themeColor="text1" w:themeTint="A6"/>
        </w:rPr>
      </w:pPr>
      <w:r w:rsidRPr="00D76FDD">
        <w:rPr>
          <w:i/>
          <w:color w:val="595959" w:themeColor="text1" w:themeTint="A6"/>
        </w:rPr>
        <w:t>Courses available at the postsecondary institution’s facility and the cost</w:t>
      </w:r>
    </w:p>
    <w:p w14:paraId="4183428B" w14:textId="754B0A51" w:rsidR="001E5FF7" w:rsidRPr="00D76FDD" w:rsidRDefault="001E5FF7" w:rsidP="00D76FDD">
      <w:pPr>
        <w:pStyle w:val="ListParagraph"/>
        <w:numPr>
          <w:ilvl w:val="0"/>
          <w:numId w:val="8"/>
        </w:numPr>
        <w:autoSpaceDE w:val="0"/>
        <w:autoSpaceDN w:val="0"/>
        <w:rPr>
          <w:i/>
          <w:color w:val="595959" w:themeColor="text1" w:themeTint="A6"/>
        </w:rPr>
      </w:pPr>
      <w:r w:rsidRPr="000A6E31">
        <w:rPr>
          <w:i/>
          <w:color w:val="595959" w:themeColor="text1" w:themeTint="A6"/>
        </w:rPr>
        <w:t>The LEP</w:t>
      </w:r>
      <w:r w:rsidR="000A6E31">
        <w:rPr>
          <w:i/>
          <w:color w:val="595959" w:themeColor="text1" w:themeTint="A6"/>
        </w:rPr>
        <w:t>’</w:t>
      </w:r>
      <w:r w:rsidRPr="000A6E31">
        <w:rPr>
          <w:i/>
          <w:color w:val="595959" w:themeColor="text1" w:themeTint="A6"/>
        </w:rPr>
        <w:t>s timeline (application procedures and deadline)</w:t>
      </w:r>
      <w:r w:rsidR="00070022" w:rsidRPr="000A6E31">
        <w:rPr>
          <w:i/>
          <w:color w:val="595959" w:themeColor="text1" w:themeTint="A6"/>
        </w:rPr>
        <w:t xml:space="preserve"> </w:t>
      </w:r>
      <w:r w:rsidRPr="000A6E31">
        <w:rPr>
          <w:i/>
          <w:color w:val="595959" w:themeColor="text1" w:themeTint="A6"/>
        </w:rPr>
        <w:t xml:space="preserve">for students to be determined eligible to participate in Concurrent Enrollment </w:t>
      </w:r>
    </w:p>
    <w:p w14:paraId="6349CD29" w14:textId="01A76CDE" w:rsidR="00C8736B" w:rsidRDefault="00B30A59" w:rsidP="00B30A59">
      <w:pPr>
        <w:rPr>
          <w:rFonts w:asciiTheme="minorHAnsi" w:hAnsiTheme="minorHAnsi"/>
          <w:i/>
          <w:color w:val="595959" w:themeColor="text1" w:themeTint="A6"/>
        </w:rPr>
      </w:pPr>
      <w:r w:rsidRPr="0038403C">
        <w:rPr>
          <w:rFonts w:asciiTheme="minorHAnsi" w:hAnsiTheme="minorHAnsi"/>
          <w:i/>
          <w:color w:val="595959" w:themeColor="text1" w:themeTint="A6"/>
        </w:rPr>
        <w:t xml:space="preserve">To ensure students are afforded sufficient time to review concurrent enrollment options, the bill requires that notice to high school students and parents be distributed </w:t>
      </w:r>
      <w:r w:rsidRPr="0038403C">
        <w:rPr>
          <w:rFonts w:asciiTheme="minorHAnsi" w:hAnsiTheme="minorHAnsi"/>
          <w:b/>
          <w:bCs/>
          <w:i/>
          <w:color w:val="595959" w:themeColor="text1" w:themeTint="A6"/>
        </w:rPr>
        <w:t>at least six weeks prior to the enrollment period</w:t>
      </w:r>
      <w:r w:rsidRPr="0038403C">
        <w:rPr>
          <w:rFonts w:asciiTheme="minorHAnsi" w:hAnsiTheme="minorHAnsi"/>
          <w:i/>
          <w:color w:val="595959" w:themeColor="text1" w:themeTint="A6"/>
        </w:rPr>
        <w:t xml:space="preserve"> for concurrent enrollment.</w:t>
      </w:r>
      <w:r w:rsidR="00CF45BF">
        <w:rPr>
          <w:rFonts w:asciiTheme="minorHAnsi" w:hAnsiTheme="minorHAnsi"/>
          <w:i/>
          <w:color w:val="595959" w:themeColor="text1" w:themeTint="A6"/>
        </w:rPr>
        <w:t xml:space="preserve"> Notice may be sent electronically.</w:t>
      </w:r>
      <w:r w:rsidR="002A0C03">
        <w:rPr>
          <w:rFonts w:asciiTheme="minorHAnsi" w:hAnsiTheme="minorHAnsi"/>
          <w:i/>
          <w:color w:val="595959" w:themeColor="text1" w:themeTint="A6"/>
        </w:rPr>
        <w:t xml:space="preserve"> </w:t>
      </w:r>
      <w:r w:rsidR="00D43608" w:rsidRPr="00970D6A">
        <w:rPr>
          <w:bCs/>
          <w:i/>
          <w:iCs/>
          <w:color w:val="000000" w:themeColor="text1"/>
        </w:rPr>
        <w:t xml:space="preserve">LEPs </w:t>
      </w:r>
      <w:r w:rsidR="00D43608" w:rsidRPr="00970D6A">
        <w:rPr>
          <w:bCs/>
          <w:i/>
          <w:iCs/>
          <w:color w:val="000000" w:themeColor="text1"/>
          <w:u w:val="single"/>
        </w:rPr>
        <w:t>must</w:t>
      </w:r>
      <w:r w:rsidR="00D43608" w:rsidRPr="00970D6A">
        <w:rPr>
          <w:i/>
          <w:iCs/>
          <w:color w:val="000000" w:themeColor="text1"/>
          <w:u w:val="single"/>
        </w:rPr>
        <w:t xml:space="preserve"> </w:t>
      </w:r>
      <w:r w:rsidR="00D43608" w:rsidRPr="00970D6A">
        <w:rPr>
          <w:bCs/>
          <w:i/>
          <w:iCs/>
          <w:color w:val="000000" w:themeColor="text1"/>
        </w:rPr>
        <w:t>send this notice via email, other electronic method, or postal service in order to assure that it reaches students/parents/guardians directly.</w:t>
      </w:r>
    </w:p>
    <w:p w14:paraId="0A51802D" w14:textId="77777777" w:rsidR="002B12B9" w:rsidRDefault="002B12B9" w:rsidP="00B30A59">
      <w:pPr>
        <w:rPr>
          <w:rFonts w:asciiTheme="minorHAnsi" w:hAnsiTheme="minorHAnsi"/>
          <w:i/>
          <w:color w:val="595959" w:themeColor="text1" w:themeTint="A6"/>
        </w:rPr>
      </w:pPr>
    </w:p>
    <w:p w14:paraId="73AEF904" w14:textId="3B54ED5E" w:rsidR="002B12B9" w:rsidRPr="002B12B9" w:rsidRDefault="002B12B9" w:rsidP="00B30A59">
      <w:pPr>
        <w:rPr>
          <w:i/>
          <w:color w:val="000000" w:themeColor="text1"/>
        </w:rPr>
      </w:pPr>
      <w:r w:rsidRPr="000A6E31">
        <w:rPr>
          <w:i/>
          <w:color w:val="595959" w:themeColor="text1" w:themeTint="A6"/>
        </w:rPr>
        <w:t>School district</w:t>
      </w:r>
      <w:r w:rsidR="0001296D" w:rsidRPr="000A6E31">
        <w:rPr>
          <w:i/>
          <w:color w:val="595959" w:themeColor="text1" w:themeTint="A6"/>
        </w:rPr>
        <w:t>s</w:t>
      </w:r>
      <w:r w:rsidRPr="000A6E31">
        <w:rPr>
          <w:i/>
          <w:color w:val="595959" w:themeColor="text1" w:themeTint="A6"/>
        </w:rPr>
        <w:t xml:space="preserve"> should work with their IHE partners to determine whether a course counts as both CTE and academic.</w:t>
      </w:r>
    </w:p>
    <w:p w14:paraId="28C8E50E" w14:textId="77777777" w:rsidR="00C8736B" w:rsidRDefault="00C8736B" w:rsidP="008215D8">
      <w:pPr>
        <w:rPr>
          <w:color w:val="000000" w:themeColor="text1"/>
        </w:rPr>
      </w:pPr>
    </w:p>
    <w:p w14:paraId="4CE7FD4E" w14:textId="6C8263A7" w:rsidR="00827F1C" w:rsidRPr="00D76FDD" w:rsidRDefault="00827F1C" w:rsidP="00827F1C">
      <w:pPr>
        <w:rPr>
          <w:i/>
          <w:color w:val="000000" w:themeColor="text1"/>
        </w:rPr>
      </w:pPr>
      <w:r w:rsidRPr="00D76FDD">
        <w:rPr>
          <w:i/>
          <w:color w:val="595959" w:themeColor="text1" w:themeTint="A6"/>
        </w:rPr>
        <w:t xml:space="preserve">CDE, CDHE and CCCS have collaborated to combine HB 16-1144 and </w:t>
      </w:r>
      <w:r w:rsidR="00D76FDD" w:rsidRPr="00D76FDD">
        <w:rPr>
          <w:i/>
          <w:color w:val="595959" w:themeColor="text1" w:themeTint="A6"/>
        </w:rPr>
        <w:t>HB</w:t>
      </w:r>
      <w:r w:rsidRPr="00D76FDD">
        <w:rPr>
          <w:i/>
          <w:color w:val="595959" w:themeColor="text1" w:themeTint="A6"/>
        </w:rPr>
        <w:t xml:space="preserve">18-1005 requirements into </w:t>
      </w:r>
      <w:r w:rsidR="00D76FDD" w:rsidRPr="00D76FDD">
        <w:rPr>
          <w:i/>
          <w:color w:val="595959" w:themeColor="text1" w:themeTint="A6"/>
        </w:rPr>
        <w:t xml:space="preserve">the following </w:t>
      </w:r>
      <w:r w:rsidRPr="00D76FDD">
        <w:rPr>
          <w:i/>
          <w:color w:val="595959" w:themeColor="text1" w:themeTint="A6"/>
        </w:rPr>
        <w:t>sample document.</w:t>
      </w:r>
      <w:r w:rsidR="00D76FDD" w:rsidRPr="00D76FDD">
        <w:rPr>
          <w:i/>
          <w:color w:val="595959" w:themeColor="text1" w:themeTint="A6"/>
        </w:rPr>
        <w:t xml:space="preserve"> You can modify as needed for your district use.</w:t>
      </w:r>
    </w:p>
    <w:p w14:paraId="3E080EA5" w14:textId="77777777" w:rsidR="00C8736B" w:rsidRDefault="00C8736B" w:rsidP="008215D8">
      <w:pPr>
        <w:rPr>
          <w:color w:val="000000" w:themeColor="text1"/>
        </w:rPr>
      </w:pPr>
    </w:p>
    <w:p w14:paraId="5626B17F" w14:textId="77777777" w:rsidR="00C8736B" w:rsidRDefault="00C8736B" w:rsidP="008215D8">
      <w:pPr>
        <w:rPr>
          <w:color w:val="000000" w:themeColor="text1"/>
        </w:rPr>
      </w:pPr>
    </w:p>
    <w:p w14:paraId="25744202" w14:textId="77777777" w:rsidR="00C8736B" w:rsidRDefault="00C8736B" w:rsidP="008215D8">
      <w:pPr>
        <w:rPr>
          <w:color w:val="000000" w:themeColor="text1"/>
        </w:rPr>
      </w:pPr>
    </w:p>
    <w:p w14:paraId="5D1F1164" w14:textId="77777777" w:rsidR="00C8736B" w:rsidRDefault="00C8736B" w:rsidP="008215D8">
      <w:pPr>
        <w:rPr>
          <w:color w:val="000000" w:themeColor="text1"/>
        </w:rPr>
      </w:pPr>
    </w:p>
    <w:p w14:paraId="6135F5A0" w14:textId="77777777" w:rsidR="00D76FDD" w:rsidRDefault="00D76FDD" w:rsidP="008215D8">
      <w:pPr>
        <w:rPr>
          <w:color w:val="000000" w:themeColor="text1"/>
        </w:rPr>
      </w:pPr>
    </w:p>
    <w:p w14:paraId="6E1CF3FB" w14:textId="77777777" w:rsidR="00D76FDD" w:rsidRDefault="00D76FDD" w:rsidP="008215D8">
      <w:pPr>
        <w:rPr>
          <w:color w:val="000000" w:themeColor="text1"/>
        </w:rPr>
      </w:pPr>
    </w:p>
    <w:p w14:paraId="67C8E3DC" w14:textId="77777777" w:rsidR="00D76FDD" w:rsidRDefault="00D76FDD" w:rsidP="008215D8">
      <w:pPr>
        <w:rPr>
          <w:color w:val="000000" w:themeColor="text1"/>
        </w:rPr>
      </w:pPr>
    </w:p>
    <w:p w14:paraId="20DA5C8B" w14:textId="77777777" w:rsidR="00D76FDD" w:rsidRDefault="00D76FDD" w:rsidP="008215D8">
      <w:pPr>
        <w:rPr>
          <w:color w:val="000000" w:themeColor="text1"/>
        </w:rPr>
      </w:pPr>
    </w:p>
    <w:p w14:paraId="741D105E" w14:textId="77777777" w:rsidR="00D76FDD" w:rsidRDefault="00D76FDD" w:rsidP="008215D8">
      <w:pPr>
        <w:rPr>
          <w:color w:val="000000" w:themeColor="text1"/>
        </w:rPr>
      </w:pPr>
    </w:p>
    <w:p w14:paraId="1A09D81E" w14:textId="77777777" w:rsidR="00D76FDD" w:rsidRDefault="00D76FDD" w:rsidP="008215D8">
      <w:pPr>
        <w:rPr>
          <w:color w:val="000000" w:themeColor="text1"/>
        </w:rPr>
      </w:pPr>
    </w:p>
    <w:p w14:paraId="06B4B505" w14:textId="77777777" w:rsidR="00D76FDD" w:rsidRDefault="00D76FDD" w:rsidP="008215D8">
      <w:pPr>
        <w:rPr>
          <w:color w:val="000000" w:themeColor="text1"/>
        </w:rPr>
      </w:pPr>
    </w:p>
    <w:p w14:paraId="5D91242E" w14:textId="77777777" w:rsidR="00D76FDD" w:rsidRDefault="00D76FDD" w:rsidP="008215D8">
      <w:pPr>
        <w:rPr>
          <w:color w:val="000000" w:themeColor="text1"/>
        </w:rPr>
      </w:pPr>
    </w:p>
    <w:p w14:paraId="4C090AAD" w14:textId="77777777" w:rsidR="000A6E31" w:rsidRDefault="000A6E31" w:rsidP="008215D8">
      <w:pPr>
        <w:rPr>
          <w:color w:val="000000" w:themeColor="text1"/>
        </w:rPr>
      </w:pPr>
    </w:p>
    <w:p w14:paraId="11EB65EB" w14:textId="77777777" w:rsidR="000A6E31" w:rsidRDefault="000A6E31" w:rsidP="008215D8">
      <w:pPr>
        <w:rPr>
          <w:color w:val="000000" w:themeColor="text1"/>
        </w:rPr>
      </w:pPr>
    </w:p>
    <w:p w14:paraId="0EB19E66" w14:textId="77777777" w:rsidR="000A6E31" w:rsidRDefault="000A6E31" w:rsidP="008215D8">
      <w:pPr>
        <w:rPr>
          <w:color w:val="000000" w:themeColor="text1"/>
        </w:rPr>
      </w:pPr>
    </w:p>
    <w:p w14:paraId="2425EEBA" w14:textId="77777777" w:rsidR="00D76FDD" w:rsidRDefault="00D76FDD" w:rsidP="008215D8">
      <w:pPr>
        <w:rPr>
          <w:color w:val="000000" w:themeColor="text1"/>
        </w:rPr>
      </w:pPr>
    </w:p>
    <w:p w14:paraId="73977D78" w14:textId="1E7699F2" w:rsidR="00D76FDD" w:rsidRPr="00C577E2" w:rsidRDefault="00C577E2" w:rsidP="00C577E2">
      <w:pPr>
        <w:jc w:val="center"/>
        <w:rPr>
          <w:i/>
          <w:color w:val="7F7F7F" w:themeColor="text1" w:themeTint="80"/>
          <w:sz w:val="24"/>
          <w:szCs w:val="24"/>
        </w:rPr>
      </w:pPr>
      <w:r>
        <w:rPr>
          <w:i/>
          <w:color w:val="7F7F7F" w:themeColor="text1" w:themeTint="80"/>
          <w:sz w:val="24"/>
          <w:szCs w:val="24"/>
        </w:rPr>
        <w:t>SAMPLE</w:t>
      </w:r>
    </w:p>
    <w:p w14:paraId="5C7A9428" w14:textId="77777777" w:rsidR="00C577E2" w:rsidRDefault="00C577E2" w:rsidP="008215D8">
      <w:pPr>
        <w:rPr>
          <w:color w:val="000000" w:themeColor="text1"/>
        </w:rPr>
      </w:pPr>
    </w:p>
    <w:p w14:paraId="15B54C99" w14:textId="77777777" w:rsidR="00D76FDD" w:rsidRDefault="00D76FDD" w:rsidP="008215D8">
      <w:pPr>
        <w:rPr>
          <w:color w:val="000000" w:themeColor="text1"/>
        </w:rPr>
      </w:pPr>
    </w:p>
    <w:p w14:paraId="1D922CCF" w14:textId="2FC93218" w:rsidR="008215D8" w:rsidRPr="008C5CE8" w:rsidRDefault="008215D8" w:rsidP="008215D8">
      <w:pPr>
        <w:rPr>
          <w:rFonts w:ascii="Verdana" w:hAnsi="Verdana"/>
          <w:color w:val="000000" w:themeColor="text1"/>
        </w:rPr>
      </w:pPr>
      <w:r w:rsidRPr="005245B2">
        <w:rPr>
          <w:color w:val="000000" w:themeColor="text1"/>
        </w:rPr>
        <w:t xml:space="preserve">___________ </w:t>
      </w:r>
      <w:r w:rsidRPr="008C5CE8">
        <w:rPr>
          <w:color w:val="000000" w:themeColor="text1"/>
        </w:rPr>
        <w:t xml:space="preserve">School District would like to share with you the Concurrent Enrollment </w:t>
      </w:r>
      <w:r w:rsidR="00C80026" w:rsidRPr="000A6E31">
        <w:rPr>
          <w:color w:val="000000" w:themeColor="text1"/>
        </w:rPr>
        <w:t xml:space="preserve">and other postsecondary course </w:t>
      </w:r>
      <w:r w:rsidRPr="008C5CE8">
        <w:rPr>
          <w:color w:val="000000" w:themeColor="text1"/>
        </w:rPr>
        <w:t>opportunities that are available to students at ____________ High School.</w:t>
      </w:r>
    </w:p>
    <w:p w14:paraId="0BCDC46A" w14:textId="77777777" w:rsidR="008215D8" w:rsidRPr="008C5CE8" w:rsidRDefault="008215D8" w:rsidP="008215D8">
      <w:pPr>
        <w:pStyle w:val="Default"/>
        <w:rPr>
          <w:color w:val="000000" w:themeColor="text1"/>
          <w:sz w:val="22"/>
          <w:szCs w:val="22"/>
        </w:rPr>
      </w:pPr>
    </w:p>
    <w:p w14:paraId="6FF4C75C" w14:textId="256BE9ED" w:rsidR="008215D8" w:rsidRPr="008C5CE8" w:rsidRDefault="00AC3D73" w:rsidP="008215D8">
      <w:pPr>
        <w:pStyle w:val="Default"/>
        <w:rPr>
          <w:color w:val="000000" w:themeColor="text1"/>
          <w:sz w:val="22"/>
          <w:szCs w:val="22"/>
        </w:rPr>
      </w:pPr>
      <w:r w:rsidRPr="000A6E31">
        <w:rPr>
          <w:color w:val="000000" w:themeColor="text1"/>
          <w:sz w:val="22"/>
          <w:szCs w:val="22"/>
          <w:u w:val="single"/>
        </w:rPr>
        <w:t xml:space="preserve">The </w:t>
      </w:r>
      <w:r w:rsidR="008215D8" w:rsidRPr="00AC3D73">
        <w:rPr>
          <w:color w:val="000000" w:themeColor="text1"/>
          <w:sz w:val="22"/>
          <w:szCs w:val="22"/>
          <w:u w:val="single"/>
        </w:rPr>
        <w:t>Concurrent Enrollment</w:t>
      </w:r>
      <w:r w:rsidR="003D3EF5" w:rsidRPr="00AC3D73">
        <w:rPr>
          <w:color w:val="000000" w:themeColor="text1"/>
          <w:sz w:val="22"/>
          <w:szCs w:val="22"/>
          <w:u w:val="single"/>
        </w:rPr>
        <w:t xml:space="preserve"> (CE)</w:t>
      </w:r>
      <w:r w:rsidR="008215D8" w:rsidRPr="00AC3D73">
        <w:rPr>
          <w:color w:val="000000" w:themeColor="text1"/>
          <w:sz w:val="22"/>
          <w:szCs w:val="22"/>
          <w:u w:val="single"/>
        </w:rPr>
        <w:t xml:space="preserve"> program</w:t>
      </w:r>
      <w:r w:rsidR="008215D8" w:rsidRPr="008C5CE8">
        <w:rPr>
          <w:color w:val="000000" w:themeColor="text1"/>
          <w:sz w:val="22"/>
          <w:szCs w:val="22"/>
        </w:rPr>
        <w:t xml:space="preserve"> allow qualified high school students</w:t>
      </w:r>
      <w:r w:rsidR="00956ADB" w:rsidRPr="008C5CE8">
        <w:rPr>
          <w:color w:val="000000" w:themeColor="text1"/>
          <w:sz w:val="22"/>
          <w:szCs w:val="22"/>
        </w:rPr>
        <w:t xml:space="preserve"> in grade</w:t>
      </w:r>
      <w:r w:rsidR="0029312D" w:rsidRPr="008C5CE8">
        <w:rPr>
          <w:color w:val="000000" w:themeColor="text1"/>
          <w:sz w:val="22"/>
          <w:szCs w:val="22"/>
        </w:rPr>
        <w:t>s</w:t>
      </w:r>
      <w:r w:rsidR="00956ADB" w:rsidRPr="008C5CE8">
        <w:rPr>
          <w:color w:val="000000" w:themeColor="text1"/>
          <w:sz w:val="22"/>
          <w:szCs w:val="22"/>
        </w:rPr>
        <w:t xml:space="preserve"> 9-12</w:t>
      </w:r>
      <w:r w:rsidR="008215D8" w:rsidRPr="008C5CE8">
        <w:rPr>
          <w:color w:val="000000" w:themeColor="text1"/>
          <w:sz w:val="22"/>
          <w:szCs w:val="22"/>
        </w:rPr>
        <w:t xml:space="preserve"> to enroll in college courses and earn credit</w:t>
      </w:r>
      <w:r w:rsidR="00956ADB" w:rsidRPr="008C5CE8">
        <w:rPr>
          <w:color w:val="000000" w:themeColor="text1"/>
          <w:sz w:val="22"/>
          <w:szCs w:val="22"/>
        </w:rPr>
        <w:t>, generally</w:t>
      </w:r>
      <w:r w:rsidR="008215D8" w:rsidRPr="008C5CE8">
        <w:rPr>
          <w:color w:val="000000" w:themeColor="text1"/>
          <w:sz w:val="22"/>
          <w:szCs w:val="22"/>
        </w:rPr>
        <w:t xml:space="preserve"> at </w:t>
      </w:r>
      <w:r w:rsidRPr="000A6E31">
        <w:rPr>
          <w:color w:val="000000" w:themeColor="text1"/>
          <w:sz w:val="22"/>
          <w:szCs w:val="22"/>
        </w:rPr>
        <w:t>low or</w:t>
      </w:r>
      <w:r>
        <w:rPr>
          <w:color w:val="FF0000"/>
          <w:sz w:val="22"/>
          <w:szCs w:val="22"/>
        </w:rPr>
        <w:t xml:space="preserve"> </w:t>
      </w:r>
      <w:r w:rsidR="008215D8" w:rsidRPr="008C5CE8">
        <w:rPr>
          <w:color w:val="000000" w:themeColor="text1"/>
          <w:sz w:val="22"/>
          <w:szCs w:val="22"/>
        </w:rPr>
        <w:t>no cost to them for tuition</w:t>
      </w:r>
      <w:r w:rsidR="000F7415" w:rsidRPr="008C5CE8">
        <w:rPr>
          <w:color w:val="000000" w:themeColor="text1"/>
          <w:sz w:val="22"/>
          <w:szCs w:val="22"/>
        </w:rPr>
        <w:t xml:space="preserve"> (exceptions may exist)</w:t>
      </w:r>
      <w:r w:rsidR="008215D8" w:rsidRPr="008C5CE8">
        <w:rPr>
          <w:color w:val="000000" w:themeColor="text1"/>
          <w:sz w:val="22"/>
          <w:szCs w:val="22"/>
        </w:rPr>
        <w:t xml:space="preserve">. The College Opportunity Fund and _________ School District will pay the tuition portion for </w:t>
      </w:r>
      <w:r w:rsidRPr="00F358FC">
        <w:rPr>
          <w:color w:val="000000" w:themeColor="text1"/>
          <w:sz w:val="22"/>
          <w:szCs w:val="22"/>
        </w:rPr>
        <w:t>CE</w:t>
      </w:r>
      <w:r>
        <w:rPr>
          <w:color w:val="FF0000"/>
          <w:sz w:val="22"/>
          <w:szCs w:val="22"/>
        </w:rPr>
        <w:t xml:space="preserve"> </w:t>
      </w:r>
      <w:r w:rsidR="008215D8" w:rsidRPr="008C5CE8">
        <w:rPr>
          <w:color w:val="000000" w:themeColor="text1"/>
          <w:sz w:val="22"/>
          <w:szCs w:val="22"/>
        </w:rPr>
        <w:t>college courses at the local community college rates on behalf of the student.  Qualified students can</w:t>
      </w:r>
      <w:r w:rsidR="003C5DD6">
        <w:rPr>
          <w:color w:val="000000" w:themeColor="text1"/>
          <w:sz w:val="22"/>
          <w:szCs w:val="22"/>
        </w:rPr>
        <w:t xml:space="preserve"> enroll in college academic and/or</w:t>
      </w:r>
      <w:r w:rsidR="008215D8" w:rsidRPr="008C5CE8">
        <w:rPr>
          <w:color w:val="000000" w:themeColor="text1"/>
          <w:sz w:val="22"/>
          <w:szCs w:val="22"/>
        </w:rPr>
        <w:t xml:space="preserve"> career and technical education courses, which may include course work related to apprenticeship programs and internship programs.  </w:t>
      </w:r>
      <w:r w:rsidR="003D3EF5" w:rsidRPr="008C5CE8">
        <w:rPr>
          <w:color w:val="000000" w:themeColor="text1"/>
          <w:sz w:val="22"/>
          <w:szCs w:val="22"/>
        </w:rPr>
        <w:t xml:space="preserve">CE </w:t>
      </w:r>
      <w:r w:rsidR="008215D8" w:rsidRPr="008C5CE8">
        <w:rPr>
          <w:color w:val="000000" w:themeColor="text1"/>
          <w:sz w:val="22"/>
          <w:szCs w:val="22"/>
        </w:rPr>
        <w:t xml:space="preserve">programs </w:t>
      </w:r>
      <w:r w:rsidR="00CE1DA9" w:rsidRPr="008C5CE8">
        <w:rPr>
          <w:color w:val="000000" w:themeColor="text1"/>
          <w:sz w:val="22"/>
          <w:szCs w:val="22"/>
        </w:rPr>
        <w:t xml:space="preserve">may </w:t>
      </w:r>
      <w:r w:rsidR="008215D8" w:rsidRPr="008C5CE8">
        <w:rPr>
          <w:color w:val="000000" w:themeColor="text1"/>
          <w:sz w:val="22"/>
          <w:szCs w:val="22"/>
        </w:rPr>
        <w:t xml:space="preserve">help students </w:t>
      </w:r>
      <w:r w:rsidR="00CE1DA9" w:rsidRPr="008C5CE8">
        <w:rPr>
          <w:rFonts w:cstheme="minorHAnsi"/>
          <w:color w:val="000000" w:themeColor="text1"/>
          <w:sz w:val="22"/>
          <w:szCs w:val="22"/>
        </w:rPr>
        <w:t xml:space="preserve">significantly reduce college expenses, increase the likelihood of completing college, and </w:t>
      </w:r>
      <w:r w:rsidR="008215D8" w:rsidRPr="008C5CE8">
        <w:rPr>
          <w:color w:val="000000" w:themeColor="text1"/>
          <w:sz w:val="22"/>
          <w:szCs w:val="22"/>
        </w:rPr>
        <w:t xml:space="preserve">develop knowledge, </w:t>
      </w:r>
      <w:r w:rsidR="00CE1DA9" w:rsidRPr="008C5CE8">
        <w:rPr>
          <w:rFonts w:cstheme="minorHAnsi"/>
          <w:color w:val="000000" w:themeColor="text1"/>
          <w:sz w:val="22"/>
          <w:szCs w:val="22"/>
        </w:rPr>
        <w:t>marketable skills</w:t>
      </w:r>
      <w:r w:rsidR="00CE1DA9" w:rsidRPr="008C5CE8">
        <w:rPr>
          <w:color w:val="000000" w:themeColor="text1"/>
          <w:sz w:val="22"/>
          <w:szCs w:val="22"/>
        </w:rPr>
        <w:t xml:space="preserve"> </w:t>
      </w:r>
      <w:r w:rsidR="008215D8" w:rsidRPr="008C5CE8">
        <w:rPr>
          <w:color w:val="000000" w:themeColor="text1"/>
          <w:sz w:val="22"/>
          <w:szCs w:val="22"/>
        </w:rPr>
        <w:t xml:space="preserve">and abilities necessary to be ready for college and the workforce. </w:t>
      </w:r>
    </w:p>
    <w:p w14:paraId="1C90FEBF" w14:textId="77777777" w:rsidR="008215D8" w:rsidRPr="008C5CE8" w:rsidRDefault="008215D8" w:rsidP="008215D8">
      <w:pPr>
        <w:pStyle w:val="Default"/>
        <w:rPr>
          <w:color w:val="000000" w:themeColor="text1"/>
          <w:sz w:val="22"/>
          <w:szCs w:val="22"/>
        </w:rPr>
      </w:pPr>
    </w:p>
    <w:p w14:paraId="0189B5A4" w14:textId="77777777" w:rsidR="008215D8" w:rsidRPr="008C5CE8" w:rsidRDefault="008215D8" w:rsidP="008215D8">
      <w:pPr>
        <w:pStyle w:val="Default"/>
        <w:rPr>
          <w:color w:val="000000" w:themeColor="text1"/>
          <w:sz w:val="22"/>
          <w:szCs w:val="22"/>
        </w:rPr>
      </w:pPr>
      <w:r w:rsidRPr="008C5CE8">
        <w:rPr>
          <w:color w:val="000000" w:themeColor="text1"/>
          <w:sz w:val="22"/>
          <w:szCs w:val="22"/>
        </w:rPr>
        <w:t>The process to enroll in these types of courses is ____________________________________.</w:t>
      </w:r>
    </w:p>
    <w:p w14:paraId="1B09F64C" w14:textId="77777777" w:rsidR="008215D8" w:rsidRPr="008C5CE8" w:rsidRDefault="008215D8" w:rsidP="008215D8">
      <w:pPr>
        <w:pStyle w:val="Default"/>
        <w:rPr>
          <w:color w:val="000000" w:themeColor="text1"/>
          <w:sz w:val="22"/>
          <w:szCs w:val="22"/>
        </w:rPr>
      </w:pPr>
      <w:r w:rsidRPr="008C5CE8">
        <w:rPr>
          <w:color w:val="000000" w:themeColor="text1"/>
          <w:sz w:val="22"/>
          <w:szCs w:val="22"/>
        </w:rPr>
        <w:t>                Step 1:</w:t>
      </w:r>
      <w:r w:rsidR="00DF3158" w:rsidRPr="008C5CE8">
        <w:rPr>
          <w:color w:val="000000" w:themeColor="text1"/>
          <w:sz w:val="22"/>
          <w:szCs w:val="22"/>
        </w:rPr>
        <w:t xml:space="preserve"> (include due date if relevant)</w:t>
      </w:r>
    </w:p>
    <w:p w14:paraId="683A9168" w14:textId="77777777" w:rsidR="008215D8" w:rsidRPr="008C5CE8" w:rsidRDefault="008215D8" w:rsidP="008215D8">
      <w:pPr>
        <w:pStyle w:val="Default"/>
        <w:rPr>
          <w:color w:val="000000" w:themeColor="text1"/>
          <w:sz w:val="22"/>
          <w:szCs w:val="22"/>
        </w:rPr>
      </w:pPr>
      <w:r w:rsidRPr="008C5CE8">
        <w:rPr>
          <w:color w:val="000000" w:themeColor="text1"/>
          <w:sz w:val="22"/>
          <w:szCs w:val="22"/>
        </w:rPr>
        <w:t>                Step 2:</w:t>
      </w:r>
      <w:r w:rsidR="00DF3158" w:rsidRPr="008C5CE8">
        <w:rPr>
          <w:color w:val="000000" w:themeColor="text1"/>
          <w:sz w:val="22"/>
          <w:szCs w:val="22"/>
        </w:rPr>
        <w:t xml:space="preserve"> (include due date if relevant)</w:t>
      </w:r>
    </w:p>
    <w:p w14:paraId="29E93948" w14:textId="77777777" w:rsidR="008215D8" w:rsidRPr="008C5CE8" w:rsidRDefault="008215D8" w:rsidP="008215D8">
      <w:pPr>
        <w:pStyle w:val="Default"/>
        <w:rPr>
          <w:color w:val="000000" w:themeColor="text1"/>
          <w:sz w:val="22"/>
          <w:szCs w:val="22"/>
        </w:rPr>
      </w:pPr>
      <w:r w:rsidRPr="008C5CE8">
        <w:rPr>
          <w:color w:val="000000" w:themeColor="text1"/>
          <w:sz w:val="22"/>
          <w:szCs w:val="22"/>
        </w:rPr>
        <w:t>                Step 3:</w:t>
      </w:r>
      <w:r w:rsidR="00DF3158" w:rsidRPr="008C5CE8">
        <w:rPr>
          <w:color w:val="000000" w:themeColor="text1"/>
          <w:sz w:val="22"/>
          <w:szCs w:val="22"/>
        </w:rPr>
        <w:t xml:space="preserve"> (include due date if relevant)</w:t>
      </w:r>
    </w:p>
    <w:p w14:paraId="73474FED" w14:textId="77777777" w:rsidR="008215D8" w:rsidRPr="008C5CE8" w:rsidRDefault="008215D8" w:rsidP="008215D8">
      <w:pPr>
        <w:rPr>
          <w:rFonts w:ascii="Verdana" w:hAnsi="Verdana"/>
          <w:color w:val="000000" w:themeColor="text1"/>
        </w:rPr>
      </w:pPr>
    </w:p>
    <w:p w14:paraId="11D22FF6" w14:textId="77777777" w:rsidR="00E71FE2" w:rsidRPr="008C5CE8" w:rsidRDefault="00E71FE2" w:rsidP="008215D8">
      <w:pPr>
        <w:rPr>
          <w:rFonts w:ascii="Verdana" w:hAnsi="Verdana"/>
          <w:color w:val="000000" w:themeColor="text1"/>
        </w:rPr>
      </w:pPr>
    </w:p>
    <w:p w14:paraId="4786A365" w14:textId="77777777" w:rsidR="00E71FE2" w:rsidRPr="008C5CE8" w:rsidRDefault="00E71FE2" w:rsidP="008215D8">
      <w:pPr>
        <w:rPr>
          <w:rFonts w:ascii="Verdana" w:hAnsi="Verdana"/>
          <w:color w:val="000000" w:themeColor="text1"/>
        </w:rPr>
      </w:pPr>
    </w:p>
    <w:p w14:paraId="133727EB" w14:textId="54523F27" w:rsidR="008215D8" w:rsidRPr="008C5CE8" w:rsidRDefault="00F645B6" w:rsidP="008215D8">
      <w:pPr>
        <w:rPr>
          <w:color w:val="000000" w:themeColor="text1"/>
        </w:rPr>
      </w:pPr>
      <w:r w:rsidRPr="008C5CE8">
        <w:rPr>
          <w:color w:val="000000" w:themeColor="text1"/>
        </w:rPr>
        <w:t xml:space="preserve">Attached </w:t>
      </w:r>
      <w:r w:rsidR="008215D8" w:rsidRPr="008C5CE8">
        <w:rPr>
          <w:color w:val="000000" w:themeColor="text1"/>
        </w:rPr>
        <w:t xml:space="preserve">is a list of courses that are offered by ________________ High School </w:t>
      </w:r>
      <w:r w:rsidRPr="008C5CE8">
        <w:rPr>
          <w:color w:val="000000" w:themeColor="text1"/>
        </w:rPr>
        <w:t xml:space="preserve">(at the high school and college campus) </w:t>
      </w:r>
      <w:r w:rsidR="008215D8" w:rsidRPr="008C5CE8">
        <w:rPr>
          <w:color w:val="000000" w:themeColor="text1"/>
        </w:rPr>
        <w:t xml:space="preserve">which apply toward a college degree or certificate. </w:t>
      </w:r>
      <w:r w:rsidRPr="008C5CE8">
        <w:rPr>
          <w:color w:val="000000" w:themeColor="text1"/>
        </w:rPr>
        <w:t xml:space="preserve"> Also included are the potential costs for each course and the party responsible for payment of cost</w:t>
      </w:r>
      <w:r w:rsidR="00E5504D" w:rsidRPr="008C5CE8">
        <w:rPr>
          <w:color w:val="000000" w:themeColor="text1"/>
        </w:rPr>
        <w:t xml:space="preserve"> (please note that costs may vary depending if offered at the high school or at the college campus)</w:t>
      </w:r>
      <w:proofErr w:type="gramStart"/>
      <w:r w:rsidRPr="008C5CE8">
        <w:rPr>
          <w:color w:val="000000" w:themeColor="text1"/>
        </w:rPr>
        <w:t>.</w:t>
      </w:r>
      <w:proofErr w:type="gramEnd"/>
      <w:r w:rsidRPr="008C5CE8">
        <w:rPr>
          <w:color w:val="000000" w:themeColor="text1"/>
        </w:rPr>
        <w:t xml:space="preserve">  </w:t>
      </w:r>
      <w:r w:rsidR="008215D8" w:rsidRPr="008C5CE8">
        <w:rPr>
          <w:color w:val="000000" w:themeColor="text1"/>
        </w:rPr>
        <w:t xml:space="preserve">The information below identifies if the course </w:t>
      </w:r>
      <w:r w:rsidR="00922B82" w:rsidRPr="008C5CE8">
        <w:rPr>
          <w:color w:val="000000" w:themeColor="text1"/>
        </w:rPr>
        <w:t xml:space="preserve">will transfer </w:t>
      </w:r>
      <w:r w:rsidR="008215D8" w:rsidRPr="008C5CE8">
        <w:rPr>
          <w:color w:val="000000" w:themeColor="text1"/>
        </w:rPr>
        <w:t>to other public Colorado colleges and universities.</w:t>
      </w:r>
    </w:p>
    <w:p w14:paraId="46032E20" w14:textId="77777777" w:rsidR="00A66B8A" w:rsidRPr="008C5CE8" w:rsidRDefault="00A66B8A" w:rsidP="008215D8">
      <w:pPr>
        <w:rPr>
          <w:color w:val="000000" w:themeColor="text1"/>
        </w:rPr>
      </w:pPr>
    </w:p>
    <w:p w14:paraId="030D4D9B" w14:textId="6ED6387B" w:rsidR="00A66B8A" w:rsidRDefault="00A66B8A" w:rsidP="008215D8">
      <w:pPr>
        <w:rPr>
          <w:color w:val="000000" w:themeColor="text1"/>
        </w:rPr>
      </w:pPr>
      <w:r w:rsidRPr="008C5CE8">
        <w:rPr>
          <w:b/>
          <w:color w:val="000000" w:themeColor="text1"/>
        </w:rPr>
        <w:t>Please meet with your high school counselor</w:t>
      </w:r>
      <w:r w:rsidRPr="008C5CE8">
        <w:rPr>
          <w:color w:val="000000" w:themeColor="text1"/>
        </w:rPr>
        <w:t xml:space="preserve"> to make sure that any college courses that you are or will be taking meet the C</w:t>
      </w:r>
      <w:r w:rsidR="00831683">
        <w:rPr>
          <w:color w:val="000000" w:themeColor="text1"/>
        </w:rPr>
        <w:t xml:space="preserve">oncurrent </w:t>
      </w:r>
      <w:r w:rsidRPr="008C5CE8">
        <w:rPr>
          <w:color w:val="000000" w:themeColor="text1"/>
        </w:rPr>
        <w:t>E</w:t>
      </w:r>
      <w:r w:rsidR="00831683">
        <w:rPr>
          <w:color w:val="000000" w:themeColor="text1"/>
        </w:rPr>
        <w:t>nrollment</w:t>
      </w:r>
      <w:r w:rsidRPr="008C5CE8">
        <w:rPr>
          <w:color w:val="000000" w:themeColor="text1"/>
        </w:rPr>
        <w:t xml:space="preserve"> requirements.  This determination may impact the course cost, your ability to transfer course credits to another college, or the amount and/or type of credits that you might receive.</w:t>
      </w:r>
    </w:p>
    <w:p w14:paraId="3066EDD4" w14:textId="77777777" w:rsidR="00A66B8A" w:rsidRDefault="00A66B8A" w:rsidP="008215D8">
      <w:pPr>
        <w:rPr>
          <w:color w:val="000000" w:themeColor="text1"/>
        </w:rPr>
      </w:pPr>
    </w:p>
    <w:p w14:paraId="77BEB289" w14:textId="77777777" w:rsidR="00A66B8A" w:rsidRDefault="00A66B8A" w:rsidP="008215D8">
      <w:pPr>
        <w:rPr>
          <w:color w:val="000000" w:themeColor="text1"/>
        </w:rPr>
      </w:pPr>
    </w:p>
    <w:p w14:paraId="69D41E6A" w14:textId="77777777" w:rsidR="00A66B8A" w:rsidRDefault="00A66B8A" w:rsidP="008215D8">
      <w:pPr>
        <w:rPr>
          <w:color w:val="000000" w:themeColor="text1"/>
        </w:rPr>
      </w:pPr>
    </w:p>
    <w:p w14:paraId="099FB109" w14:textId="77777777" w:rsidR="00A66B8A" w:rsidRDefault="00A66B8A" w:rsidP="008215D8">
      <w:pPr>
        <w:rPr>
          <w:color w:val="000000" w:themeColor="text1"/>
        </w:rPr>
      </w:pPr>
    </w:p>
    <w:p w14:paraId="4E5768A8" w14:textId="77777777" w:rsidR="00A66B8A" w:rsidRDefault="00A66B8A" w:rsidP="008215D8">
      <w:pPr>
        <w:rPr>
          <w:color w:val="000000" w:themeColor="text1"/>
        </w:rPr>
      </w:pPr>
    </w:p>
    <w:p w14:paraId="0A56CC54" w14:textId="77777777" w:rsidR="00A66B8A" w:rsidRDefault="00A66B8A" w:rsidP="008215D8">
      <w:pPr>
        <w:rPr>
          <w:color w:val="000000" w:themeColor="text1"/>
        </w:rPr>
      </w:pPr>
    </w:p>
    <w:p w14:paraId="3EE95715" w14:textId="77777777" w:rsidR="00A66B8A" w:rsidRDefault="00A66B8A" w:rsidP="008215D8">
      <w:pPr>
        <w:rPr>
          <w:color w:val="000000" w:themeColor="text1"/>
        </w:rPr>
      </w:pPr>
    </w:p>
    <w:p w14:paraId="18BE8CAF" w14:textId="77777777" w:rsidR="00A66B8A" w:rsidRDefault="00A66B8A" w:rsidP="008215D8">
      <w:pPr>
        <w:rPr>
          <w:color w:val="000000" w:themeColor="text1"/>
        </w:rPr>
      </w:pPr>
    </w:p>
    <w:p w14:paraId="6127D70F" w14:textId="77777777" w:rsidR="00A66B8A" w:rsidRDefault="00A66B8A" w:rsidP="008215D8">
      <w:pPr>
        <w:rPr>
          <w:color w:val="000000" w:themeColor="text1"/>
        </w:rPr>
      </w:pPr>
    </w:p>
    <w:p w14:paraId="50725136" w14:textId="77777777" w:rsidR="00A66B8A" w:rsidRDefault="00A66B8A" w:rsidP="008215D8">
      <w:pPr>
        <w:rPr>
          <w:color w:val="000000" w:themeColor="text1"/>
        </w:rPr>
      </w:pPr>
    </w:p>
    <w:p w14:paraId="4CA25AA2" w14:textId="77777777" w:rsidR="00A66B8A" w:rsidRDefault="00A66B8A" w:rsidP="008215D8">
      <w:pPr>
        <w:rPr>
          <w:color w:val="000000" w:themeColor="text1"/>
        </w:rPr>
      </w:pPr>
    </w:p>
    <w:p w14:paraId="0B7BE6C6" w14:textId="77777777" w:rsidR="00A66B8A" w:rsidRDefault="00A66B8A" w:rsidP="008215D8">
      <w:pPr>
        <w:rPr>
          <w:color w:val="000000" w:themeColor="text1"/>
        </w:rPr>
      </w:pPr>
    </w:p>
    <w:p w14:paraId="2B50FF51" w14:textId="77777777" w:rsidR="00DE5D17" w:rsidRDefault="00DE5D17" w:rsidP="00A66B8A">
      <w:pPr>
        <w:rPr>
          <w:color w:val="000000" w:themeColor="text1"/>
        </w:rPr>
        <w:sectPr w:rsidR="00DE5D17" w:rsidSect="00E055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5D5F818B" w14:textId="5CF4905D" w:rsidR="00DE5D17" w:rsidRDefault="00C577E2" w:rsidP="00C577E2">
      <w:pPr>
        <w:jc w:val="center"/>
        <w:rPr>
          <w:color w:val="000000" w:themeColor="text1"/>
        </w:rPr>
      </w:pPr>
      <w:r>
        <w:rPr>
          <w:i/>
          <w:color w:val="7F7F7F" w:themeColor="text1" w:themeTint="80"/>
          <w:sz w:val="24"/>
          <w:szCs w:val="24"/>
        </w:rPr>
        <w:t>SAMPLE</w:t>
      </w:r>
    </w:p>
    <w:p w14:paraId="33F99766" w14:textId="77777777" w:rsidR="00A66B8A" w:rsidRPr="005245B2" w:rsidRDefault="00A66B8A" w:rsidP="00A66B8A">
      <w:pPr>
        <w:rPr>
          <w:color w:val="000000" w:themeColor="text1"/>
        </w:rPr>
      </w:pPr>
      <w:r w:rsidRPr="005245B2">
        <w:rPr>
          <w:color w:val="000000" w:themeColor="text1"/>
        </w:rPr>
        <w:t>Definitions:</w:t>
      </w:r>
    </w:p>
    <w:p w14:paraId="0931FF19" w14:textId="77777777" w:rsidR="00A66B8A" w:rsidRPr="005245B2" w:rsidRDefault="00A66B8A" w:rsidP="00A66B8A">
      <w:pPr>
        <w:rPr>
          <w:color w:val="000000" w:themeColor="text1"/>
        </w:rPr>
      </w:pPr>
    </w:p>
    <w:p w14:paraId="5E1409CB" w14:textId="77777777" w:rsidR="00A66B8A" w:rsidRPr="00A66B8A" w:rsidRDefault="00A66B8A" w:rsidP="00A66B8A">
      <w:pPr>
        <w:rPr>
          <w:color w:val="000000" w:themeColor="text1"/>
        </w:rPr>
      </w:pPr>
      <w:r w:rsidRPr="00A66B8A">
        <w:rPr>
          <w:b/>
          <w:color w:val="000000" w:themeColor="text1"/>
        </w:rPr>
        <w:t>Prerequisites</w:t>
      </w:r>
      <w:r w:rsidRPr="00A66B8A">
        <w:rPr>
          <w:color w:val="000000" w:themeColor="text1"/>
        </w:rPr>
        <w:t>: These are courses that must be taken with a passing grade prior to the student being approved to enroll in the concurrent enrollment course.</w:t>
      </w:r>
    </w:p>
    <w:p w14:paraId="41C894ED" w14:textId="77777777" w:rsidR="00A66B8A" w:rsidRDefault="00A66B8A" w:rsidP="00A66B8A">
      <w:pPr>
        <w:rPr>
          <w:b/>
          <w:color w:val="000000" w:themeColor="text1"/>
        </w:rPr>
      </w:pPr>
    </w:p>
    <w:p w14:paraId="183A84E3" w14:textId="4FF06936" w:rsidR="00A409C4" w:rsidRDefault="00A409C4" w:rsidP="00A66B8A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GT Pathway: </w:t>
      </w:r>
      <w:r w:rsidRPr="00491170">
        <w:rPr>
          <w:color w:val="000000" w:themeColor="text1"/>
        </w:rPr>
        <w:t>“</w:t>
      </w:r>
      <w:hyperlink r:id="rId14" w:history="1">
        <w:r w:rsidRPr="00491170">
          <w:rPr>
            <w:rStyle w:val="Hyperlink"/>
          </w:rPr>
          <w:t>Guaranteed  Transfer Pathway</w:t>
        </w:r>
      </w:hyperlink>
      <w:r w:rsidRPr="00491170">
        <w:rPr>
          <w:color w:val="000000" w:themeColor="text1"/>
        </w:rPr>
        <w:t>” courses are college level courses that are guaranteed to transfer and apply to most associate/bachelor of arts and associate/bachelor of sciences degrees at public colleges and universities in Colorado.  The student must earn a C- or better</w:t>
      </w:r>
      <w:r w:rsidR="0086773F" w:rsidRPr="00491170">
        <w:rPr>
          <w:color w:val="000000" w:themeColor="text1"/>
        </w:rPr>
        <w:t xml:space="preserve"> to be eligible</w:t>
      </w:r>
      <w:r w:rsidRPr="00491170">
        <w:rPr>
          <w:color w:val="000000" w:themeColor="text1"/>
        </w:rPr>
        <w:t xml:space="preserve">, and there are a few programs of study </w:t>
      </w:r>
      <w:r w:rsidR="00922B82">
        <w:rPr>
          <w:color w:val="000000" w:themeColor="text1"/>
        </w:rPr>
        <w:t>to which</w:t>
      </w:r>
      <w:r w:rsidRPr="00491170">
        <w:rPr>
          <w:color w:val="000000" w:themeColor="text1"/>
        </w:rPr>
        <w:t xml:space="preserve"> GT Pathways </w:t>
      </w:r>
      <w:hyperlink r:id="rId15" w:history="1">
        <w:r w:rsidR="0086773F" w:rsidRPr="00491170">
          <w:rPr>
            <w:rStyle w:val="Hyperlink"/>
          </w:rPr>
          <w:t>do not apply</w:t>
        </w:r>
      </w:hyperlink>
      <w:r w:rsidR="00922B82">
        <w:rPr>
          <w:color w:val="000000" w:themeColor="text1"/>
        </w:rPr>
        <w:t>,</w:t>
      </w:r>
      <w:r w:rsidRPr="00491170">
        <w:rPr>
          <w:color w:val="000000" w:themeColor="text1"/>
        </w:rPr>
        <w:t xml:space="preserve"> (for example, Engineering and Nursing). </w:t>
      </w:r>
      <w:r w:rsidR="0086773F" w:rsidRPr="00491170">
        <w:rPr>
          <w:color w:val="000000" w:themeColor="text1"/>
        </w:rPr>
        <w:t xml:space="preserve"> “Yes” signifies that the course is GT Pathway. “No” signifies that the course is not GT Pathway.</w:t>
      </w:r>
      <w:r w:rsidR="00D04942">
        <w:rPr>
          <w:color w:val="000000" w:themeColor="text1"/>
        </w:rPr>
        <w:t xml:space="preserve"> Visit this </w:t>
      </w:r>
      <w:hyperlink r:id="rId16" w:history="1">
        <w:r w:rsidR="00D04942" w:rsidRPr="00D04942">
          <w:rPr>
            <w:rStyle w:val="Hyperlink"/>
          </w:rPr>
          <w:t>checklist</w:t>
        </w:r>
      </w:hyperlink>
      <w:r w:rsidR="00D04942">
        <w:rPr>
          <w:color w:val="000000" w:themeColor="text1"/>
        </w:rPr>
        <w:t xml:space="preserve"> for more information.</w:t>
      </w:r>
    </w:p>
    <w:p w14:paraId="50792F8F" w14:textId="77777777" w:rsidR="008215D8" w:rsidRDefault="008215D8" w:rsidP="008215D8">
      <w:pPr>
        <w:rPr>
          <w:color w:val="000000" w:themeColor="text1"/>
        </w:rPr>
      </w:pPr>
    </w:p>
    <w:p w14:paraId="15F86A23" w14:textId="41428FCD" w:rsidR="0086773F" w:rsidRDefault="0086773F" w:rsidP="008215D8">
      <w:pPr>
        <w:rPr>
          <w:color w:val="000000" w:themeColor="text1"/>
        </w:rPr>
      </w:pPr>
      <w:r w:rsidRPr="00614A49">
        <w:rPr>
          <w:b/>
          <w:color w:val="000000" w:themeColor="text1"/>
        </w:rPr>
        <w:t xml:space="preserve">Academic or CTE:  </w:t>
      </w:r>
      <w:r w:rsidRPr="00614A49">
        <w:rPr>
          <w:color w:val="000000" w:themeColor="text1"/>
        </w:rPr>
        <w:t>“Academic” typically refers to associate/bachelor of arts and associate/bachelor of science degrees. “Career and Technical Education” (CTE) programs are typically certificates and applied science degrees.</w:t>
      </w:r>
      <w:r>
        <w:rPr>
          <w:b/>
          <w:color w:val="000000" w:themeColor="text1"/>
        </w:rPr>
        <w:t xml:space="preserve">  </w:t>
      </w:r>
      <w:r w:rsidRPr="00614A49">
        <w:rPr>
          <w:color w:val="000000" w:themeColor="text1"/>
        </w:rPr>
        <w:t>CTE courses sometimes will not transfer and apply to academic degrees, and vice versa. “Academic” signifies that the course will apply to an academic degree. “CTE”</w:t>
      </w:r>
      <w:r w:rsidR="00D04942" w:rsidRPr="00614A49">
        <w:rPr>
          <w:color w:val="000000" w:themeColor="text1"/>
        </w:rPr>
        <w:t xml:space="preserve"> signifies that the course</w:t>
      </w:r>
      <w:r w:rsidRPr="00614A49">
        <w:rPr>
          <w:color w:val="000000" w:themeColor="text1"/>
        </w:rPr>
        <w:t xml:space="preserve"> will apply to at CTE program. “Both” means that the course will apply to both an academic and CTE program.</w:t>
      </w:r>
    </w:p>
    <w:p w14:paraId="724D912F" w14:textId="77777777" w:rsidR="002E1FFA" w:rsidRDefault="002E1FFA" w:rsidP="008215D8">
      <w:pPr>
        <w:rPr>
          <w:color w:val="000000" w:themeColor="text1"/>
        </w:rPr>
      </w:pPr>
    </w:p>
    <w:p w14:paraId="5DBCA6F6" w14:textId="77777777" w:rsidR="00922B82" w:rsidRPr="00614A49" w:rsidRDefault="00922B82" w:rsidP="008215D8">
      <w:pPr>
        <w:rPr>
          <w:b/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530"/>
        <w:gridCol w:w="1530"/>
        <w:gridCol w:w="1530"/>
        <w:gridCol w:w="1530"/>
        <w:gridCol w:w="1530"/>
        <w:gridCol w:w="1530"/>
        <w:gridCol w:w="1530"/>
      </w:tblGrid>
      <w:tr w:rsidR="00A409C4" w:rsidRPr="005245B2" w14:paraId="582E7F35" w14:textId="77777777" w:rsidTr="00614A49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25C83" w14:textId="77777777" w:rsidR="00A409C4" w:rsidRPr="005245B2" w:rsidRDefault="00A409C4" w:rsidP="00286D42">
            <w:pPr>
              <w:jc w:val="center"/>
              <w:rPr>
                <w:rFonts w:eastAsiaTheme="minorHAnsi"/>
                <w:color w:val="000000" w:themeColor="text1"/>
              </w:rPr>
            </w:pPr>
            <w:r w:rsidRPr="005245B2">
              <w:rPr>
                <w:color w:val="000000" w:themeColor="text1"/>
              </w:rPr>
              <w:t>Course Name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02735" w14:textId="77777777" w:rsidR="00A409C4" w:rsidRDefault="00A409C4" w:rsidP="00286D42">
            <w:pPr>
              <w:jc w:val="center"/>
              <w:rPr>
                <w:color w:val="000000" w:themeColor="text1"/>
              </w:rPr>
            </w:pPr>
            <w:r w:rsidRPr="005245B2">
              <w:rPr>
                <w:color w:val="000000" w:themeColor="text1"/>
              </w:rPr>
              <w:t>Prerequisites</w:t>
            </w:r>
          </w:p>
          <w:p w14:paraId="4543E615" w14:textId="7FED04ED" w:rsidR="00922B82" w:rsidRPr="005245B2" w:rsidRDefault="00922B82" w:rsidP="00286D42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color w:val="000000" w:themeColor="text1"/>
              </w:rPr>
              <w:t>(List courses that are prerequisites to course)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54DE" w14:textId="77777777" w:rsidR="00A409C4" w:rsidRDefault="0086773F" w:rsidP="00286D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GT </w:t>
            </w:r>
            <w:r w:rsidR="00A409C4">
              <w:rPr>
                <w:color w:val="000000" w:themeColor="text1"/>
              </w:rPr>
              <w:t>Pathway</w:t>
            </w:r>
          </w:p>
          <w:p w14:paraId="3C077F4B" w14:textId="328D1F8D" w:rsidR="00922B82" w:rsidRPr="00522649" w:rsidRDefault="00922B82" w:rsidP="00286D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(Mark “yes” or “no”)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E1AB6" w14:textId="0937909E" w:rsidR="00A409C4" w:rsidRDefault="0086773F" w:rsidP="008677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Academic or CTE Program</w:t>
            </w:r>
          </w:p>
          <w:p w14:paraId="58DE7AF6" w14:textId="1251A7D5" w:rsidR="00922B82" w:rsidRPr="005245B2" w:rsidRDefault="00922B82" w:rsidP="0086773F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color w:val="000000" w:themeColor="text1"/>
              </w:rPr>
              <w:t>(Mark academic, CTE, or both)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E2EEDC" w14:textId="77777777" w:rsidR="00A409C4" w:rsidRDefault="00A409C4" w:rsidP="00286D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Location</w:t>
            </w:r>
          </w:p>
          <w:p w14:paraId="6A200635" w14:textId="35CA5045" w:rsidR="00922B82" w:rsidRPr="00522649" w:rsidRDefault="00922B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(High school, college campus, online)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9B0D19" w14:textId="77777777" w:rsidR="00A409C4" w:rsidRPr="00522649" w:rsidRDefault="00A409C4" w:rsidP="00286D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Tuition cost/ Responsible Party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525CDB" w14:textId="77777777" w:rsidR="00A409C4" w:rsidRPr="00522649" w:rsidRDefault="00A409C4" w:rsidP="00286D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Fees cost/ Responsible Party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C14985" w14:textId="77777777" w:rsidR="00A409C4" w:rsidRPr="00522649" w:rsidRDefault="00A409C4" w:rsidP="00C952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Books &amp; supplies/ Responsible Party</w:t>
            </w:r>
          </w:p>
        </w:tc>
      </w:tr>
      <w:tr w:rsidR="00A409C4" w:rsidRPr="005245B2" w14:paraId="7CA25873" w14:textId="77777777" w:rsidTr="00614A4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F2E4" w14:textId="67281BFA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D81D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2331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AEB8" w14:textId="06AB2EC6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2AAF0D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8A2FE9" w14:textId="24C7A5FF" w:rsidR="00A409C4" w:rsidRPr="00C9528C" w:rsidRDefault="00A409C4" w:rsidP="002E1FFA">
            <w:pPr>
              <w:jc w:val="center"/>
              <w:rPr>
                <w:rFonts w:eastAsiaTheme="minorHAnsi"/>
                <w:i/>
                <w:color w:val="808080" w:themeColor="background1" w:themeShade="80"/>
              </w:rPr>
            </w:pPr>
            <w:r>
              <w:rPr>
                <w:rFonts w:eastAsiaTheme="minorHAnsi"/>
                <w:i/>
                <w:color w:val="808080" w:themeColor="background1" w:themeShade="80"/>
              </w:rPr>
              <w:t>District &amp; COF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5CBB3C" w14:textId="1A37ED19" w:rsidR="00A409C4" w:rsidRPr="00C9528C" w:rsidRDefault="00A409C4" w:rsidP="002E1FFA">
            <w:pPr>
              <w:jc w:val="center"/>
              <w:rPr>
                <w:rFonts w:eastAsiaTheme="minorHAnsi"/>
                <w:i/>
                <w:color w:val="808080" w:themeColor="background1" w:themeShade="80"/>
              </w:rPr>
            </w:pPr>
            <w:r>
              <w:rPr>
                <w:rFonts w:eastAsiaTheme="minorHAnsi"/>
                <w:i/>
                <w:color w:val="808080" w:themeColor="background1" w:themeShade="80"/>
              </w:rPr>
              <w:t>Student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87D27A" w14:textId="0179EB6D" w:rsidR="00A409C4" w:rsidRPr="005245B2" w:rsidRDefault="00A409C4" w:rsidP="002E1FFA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i/>
                <w:color w:val="808080" w:themeColor="background1" w:themeShade="80"/>
              </w:rPr>
              <w:t>Student</w:t>
            </w:r>
          </w:p>
        </w:tc>
      </w:tr>
      <w:tr w:rsidR="00A409C4" w:rsidRPr="005245B2" w14:paraId="28BF5071" w14:textId="77777777" w:rsidTr="00614A4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3493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F4E5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3F6A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DB05" w14:textId="3508F0A8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F22E3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8A30AA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79A733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102746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</w:tr>
      <w:tr w:rsidR="00A409C4" w:rsidRPr="005245B2" w14:paraId="0011FA44" w14:textId="77777777" w:rsidTr="00614A4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D8BD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B4C2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6C80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581C" w14:textId="6B5E8BF0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7F7A6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946E1A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50AA45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A0F633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</w:tr>
      <w:tr w:rsidR="00A409C4" w:rsidRPr="005245B2" w14:paraId="1180BFB2" w14:textId="77777777" w:rsidTr="00614A4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C05E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C2CC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9BB2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DBC2" w14:textId="0DEE3D26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A67E8A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513E89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D8F5C5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964E7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</w:tr>
      <w:tr w:rsidR="00A409C4" w:rsidRPr="005245B2" w14:paraId="1DFC13FC" w14:textId="77777777" w:rsidTr="00614A4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D7F9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29CD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75D5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55BE" w14:textId="03DDBAAF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8E43AD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C6FBAB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B1B554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8601B3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</w:tr>
      <w:tr w:rsidR="00A409C4" w:rsidRPr="005245B2" w14:paraId="0954C183" w14:textId="77777777" w:rsidTr="00614A4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69DC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096B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069B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2850" w14:textId="3F68574D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A241C0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C167E5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BBB3DA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EF8F2F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</w:tr>
      <w:tr w:rsidR="00A409C4" w:rsidRPr="005245B2" w14:paraId="547358C7" w14:textId="77777777" w:rsidTr="00614A4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845A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284B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32D0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968B" w14:textId="4D0C35C9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DC2F69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138B9C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DFCFEA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3821BF" w14:textId="77777777" w:rsidR="00A409C4" w:rsidRPr="005245B2" w:rsidRDefault="00A409C4" w:rsidP="002565D9">
            <w:pPr>
              <w:rPr>
                <w:rFonts w:eastAsiaTheme="minorHAnsi"/>
                <w:color w:val="000000" w:themeColor="text1"/>
              </w:rPr>
            </w:pPr>
          </w:p>
        </w:tc>
      </w:tr>
    </w:tbl>
    <w:p w14:paraId="6821B391" w14:textId="77777777" w:rsidR="008215D8" w:rsidRPr="005245B2" w:rsidRDefault="008215D8" w:rsidP="008215D8">
      <w:pPr>
        <w:rPr>
          <w:rFonts w:eastAsiaTheme="minorHAnsi"/>
          <w:color w:val="000000" w:themeColor="text1"/>
        </w:rPr>
      </w:pPr>
    </w:p>
    <w:p w14:paraId="6FF2A361" w14:textId="77777777" w:rsidR="004130C0" w:rsidRPr="00405A52" w:rsidRDefault="004130C0" w:rsidP="008215D8">
      <w:pPr>
        <w:pStyle w:val="ListParagraph"/>
        <w:numPr>
          <w:ilvl w:val="0"/>
          <w:numId w:val="1"/>
        </w:numPr>
      </w:pPr>
    </w:p>
    <w:p w14:paraId="4A72BB0C" w14:textId="77777777" w:rsidR="00D75F6D" w:rsidRPr="00D75F6D" w:rsidRDefault="00D75F6D" w:rsidP="00D75F6D">
      <w:pPr>
        <w:rPr>
          <w:color w:val="000000" w:themeColor="text1"/>
        </w:rPr>
      </w:pPr>
    </w:p>
    <w:sectPr w:rsidR="00D75F6D" w:rsidRPr="00D75F6D" w:rsidSect="00DE5D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852A57" w15:done="0"/>
  <w15:commentEx w15:paraId="5AB62119" w15:done="0"/>
  <w15:commentEx w15:paraId="18209F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4FE21" w14:textId="77777777" w:rsidR="003918F0" w:rsidRDefault="003918F0" w:rsidP="00925A6C">
      <w:r>
        <w:separator/>
      </w:r>
    </w:p>
  </w:endnote>
  <w:endnote w:type="continuationSeparator" w:id="0">
    <w:p w14:paraId="74EB293F" w14:textId="77777777" w:rsidR="003918F0" w:rsidRDefault="003918F0" w:rsidP="0092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D809D" w14:textId="77777777" w:rsidR="000A6E31" w:rsidRDefault="000A6E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0D9CB" w14:textId="1013E2BC" w:rsidR="002E1FFA" w:rsidRPr="00B57310" w:rsidRDefault="00B57310">
    <w:pPr>
      <w:pStyle w:val="Footer"/>
      <w:rPr>
        <w:i/>
        <w:color w:val="A6A6A6" w:themeColor="background1" w:themeShade="A6"/>
        <w:sz w:val="20"/>
        <w:szCs w:val="20"/>
      </w:rPr>
    </w:pPr>
    <w:r>
      <w:tab/>
    </w:r>
    <w:r>
      <w:tab/>
    </w:r>
    <w:r w:rsidR="00C577E2">
      <w:rPr>
        <w:i/>
        <w:color w:val="808080" w:themeColor="background1" w:themeShade="80"/>
        <w:sz w:val="20"/>
        <w:szCs w:val="20"/>
      </w:rPr>
      <w:t xml:space="preserve"> July</w:t>
    </w:r>
    <w:r w:rsidRPr="00C42924">
      <w:rPr>
        <w:i/>
        <w:color w:val="808080" w:themeColor="background1" w:themeShade="80"/>
        <w:sz w:val="20"/>
        <w:szCs w:val="20"/>
      </w:rPr>
      <w:t xml:space="preserve">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8EFFD" w14:textId="77777777" w:rsidR="000A6E31" w:rsidRDefault="000A6E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B5CA3" w14:textId="77777777" w:rsidR="003918F0" w:rsidRDefault="003918F0" w:rsidP="00925A6C">
      <w:r>
        <w:separator/>
      </w:r>
    </w:p>
  </w:footnote>
  <w:footnote w:type="continuationSeparator" w:id="0">
    <w:p w14:paraId="40A55773" w14:textId="77777777" w:rsidR="003918F0" w:rsidRDefault="003918F0" w:rsidP="00925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88270" w14:textId="77777777" w:rsidR="000A6E31" w:rsidRDefault="000A6E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955656"/>
      <w:docPartObj>
        <w:docPartGallery w:val="Watermarks"/>
        <w:docPartUnique/>
      </w:docPartObj>
    </w:sdtPr>
    <w:sdtEndPr/>
    <w:sdtContent>
      <w:p w14:paraId="1821F9C1" w14:textId="2062A45E" w:rsidR="000A6E31" w:rsidRDefault="003918F0">
        <w:pPr>
          <w:pStyle w:val="Header"/>
        </w:pPr>
        <w:r>
          <w:rPr>
            <w:noProof/>
            <w:lang w:eastAsia="zh-TW"/>
          </w:rPr>
          <w:pict w14:anchorId="671087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B2ACE" w14:textId="77777777" w:rsidR="000A6E31" w:rsidRDefault="000A6E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2F48"/>
    <w:multiLevelType w:val="hybridMultilevel"/>
    <w:tmpl w:val="0C8A7236"/>
    <w:lvl w:ilvl="0" w:tplc="21029880">
      <w:numFmt w:val="bullet"/>
      <w:lvlText w:val="-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8A8"/>
    <w:multiLevelType w:val="hybridMultilevel"/>
    <w:tmpl w:val="2A403D66"/>
    <w:lvl w:ilvl="0" w:tplc="7BE217D6">
      <w:start w:val="1"/>
      <w:numFmt w:val="bullet"/>
      <w:lvlText w:val=""/>
      <w:lvlJc w:val="left"/>
      <w:pPr>
        <w:ind w:left="1185" w:hanging="465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C67A44"/>
    <w:multiLevelType w:val="hybridMultilevel"/>
    <w:tmpl w:val="B3A6869C"/>
    <w:lvl w:ilvl="0" w:tplc="F334A36C">
      <w:numFmt w:val="bullet"/>
      <w:lvlText w:val="-"/>
      <w:lvlJc w:val="left"/>
      <w:pPr>
        <w:ind w:left="1545" w:hanging="46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454B37"/>
    <w:multiLevelType w:val="hybridMultilevel"/>
    <w:tmpl w:val="A5EE0E10"/>
    <w:lvl w:ilvl="0" w:tplc="7BE217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22179F"/>
    <w:multiLevelType w:val="hybridMultilevel"/>
    <w:tmpl w:val="683C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3601A"/>
    <w:multiLevelType w:val="hybridMultilevel"/>
    <w:tmpl w:val="5E0C45B8"/>
    <w:lvl w:ilvl="0" w:tplc="C1A421FE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A6694E"/>
    <w:multiLevelType w:val="hybridMultilevel"/>
    <w:tmpl w:val="0C0CAD3C"/>
    <w:lvl w:ilvl="0" w:tplc="F334A36C">
      <w:numFmt w:val="bullet"/>
      <w:lvlText w:val="-"/>
      <w:lvlJc w:val="left"/>
      <w:pPr>
        <w:ind w:left="1185" w:hanging="46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5471DC"/>
    <w:multiLevelType w:val="hybridMultilevel"/>
    <w:tmpl w:val="F0F47EE0"/>
    <w:lvl w:ilvl="0" w:tplc="7BE217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cker, Andy">
    <w15:presenceInfo w15:providerId="AD" w15:userId="S-1-5-21-170422339-1359699126-1544898942-580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D8"/>
    <w:rsid w:val="0001296D"/>
    <w:rsid w:val="00030DE9"/>
    <w:rsid w:val="00070022"/>
    <w:rsid w:val="000A6E31"/>
    <w:rsid w:val="000F7415"/>
    <w:rsid w:val="0016663B"/>
    <w:rsid w:val="001D4A59"/>
    <w:rsid w:val="001E5FF7"/>
    <w:rsid w:val="001E66AA"/>
    <w:rsid w:val="00286583"/>
    <w:rsid w:val="00286D42"/>
    <w:rsid w:val="0029312D"/>
    <w:rsid w:val="002A0C03"/>
    <w:rsid w:val="002B12B9"/>
    <w:rsid w:val="002D2FC8"/>
    <w:rsid w:val="002E1FFA"/>
    <w:rsid w:val="0038403C"/>
    <w:rsid w:val="003918F0"/>
    <w:rsid w:val="003C5DD6"/>
    <w:rsid w:val="003D3EF5"/>
    <w:rsid w:val="00405A52"/>
    <w:rsid w:val="004130C0"/>
    <w:rsid w:val="00491170"/>
    <w:rsid w:val="004A2534"/>
    <w:rsid w:val="004C0592"/>
    <w:rsid w:val="00520171"/>
    <w:rsid w:val="00522649"/>
    <w:rsid w:val="0056426B"/>
    <w:rsid w:val="005E55E4"/>
    <w:rsid w:val="00603AAB"/>
    <w:rsid w:val="00614A49"/>
    <w:rsid w:val="006B151E"/>
    <w:rsid w:val="006E4A45"/>
    <w:rsid w:val="00740C51"/>
    <w:rsid w:val="0074447C"/>
    <w:rsid w:val="007B3C94"/>
    <w:rsid w:val="007F35DF"/>
    <w:rsid w:val="007F687B"/>
    <w:rsid w:val="008215D8"/>
    <w:rsid w:val="00827F1C"/>
    <w:rsid w:val="00831683"/>
    <w:rsid w:val="0086773F"/>
    <w:rsid w:val="0088233D"/>
    <w:rsid w:val="008C5CE8"/>
    <w:rsid w:val="008D1AF4"/>
    <w:rsid w:val="008F6E97"/>
    <w:rsid w:val="00922B82"/>
    <w:rsid w:val="00925A6C"/>
    <w:rsid w:val="00956ADB"/>
    <w:rsid w:val="00970D6A"/>
    <w:rsid w:val="009A5336"/>
    <w:rsid w:val="00A409C4"/>
    <w:rsid w:val="00A66B8A"/>
    <w:rsid w:val="00AC3D73"/>
    <w:rsid w:val="00B10BF7"/>
    <w:rsid w:val="00B30A59"/>
    <w:rsid w:val="00B57310"/>
    <w:rsid w:val="00C402F0"/>
    <w:rsid w:val="00C42924"/>
    <w:rsid w:val="00C577E2"/>
    <w:rsid w:val="00C80026"/>
    <w:rsid w:val="00C8736B"/>
    <w:rsid w:val="00C9528C"/>
    <w:rsid w:val="00CC314C"/>
    <w:rsid w:val="00CC3EE5"/>
    <w:rsid w:val="00CC75D6"/>
    <w:rsid w:val="00CE1DA9"/>
    <w:rsid w:val="00CF2FBB"/>
    <w:rsid w:val="00CF45BF"/>
    <w:rsid w:val="00CF724D"/>
    <w:rsid w:val="00D0185C"/>
    <w:rsid w:val="00D04942"/>
    <w:rsid w:val="00D43608"/>
    <w:rsid w:val="00D75F6D"/>
    <w:rsid w:val="00D76FDD"/>
    <w:rsid w:val="00DA446F"/>
    <w:rsid w:val="00DE5D17"/>
    <w:rsid w:val="00DE7E92"/>
    <w:rsid w:val="00DF3158"/>
    <w:rsid w:val="00E055FA"/>
    <w:rsid w:val="00E5504D"/>
    <w:rsid w:val="00E669BE"/>
    <w:rsid w:val="00E71FE2"/>
    <w:rsid w:val="00ED0805"/>
    <w:rsid w:val="00F358FC"/>
    <w:rsid w:val="00F645B6"/>
    <w:rsid w:val="00F91867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7644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D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30A59"/>
    <w:pPr>
      <w:keepNext/>
      <w:spacing w:before="240" w:line="252" w:lineRule="auto"/>
      <w:outlineLvl w:val="0"/>
    </w:pPr>
    <w:rPr>
      <w:rFonts w:ascii="Cambria" w:eastAsiaTheme="minorHAnsi" w:hAnsi="Cambria"/>
      <w:color w:val="365F91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uiPriority w:val="99"/>
    <w:rsid w:val="00821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5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A6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5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A6C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E71F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6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ADB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ADB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D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09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94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0A59"/>
    <w:rPr>
      <w:rFonts w:ascii="Cambria" w:hAnsi="Cambria" w:cs="Times New Roman"/>
      <w:color w:val="365F91"/>
      <w:kern w:val="36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D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30A59"/>
    <w:pPr>
      <w:keepNext/>
      <w:spacing w:before="240" w:line="252" w:lineRule="auto"/>
      <w:outlineLvl w:val="0"/>
    </w:pPr>
    <w:rPr>
      <w:rFonts w:ascii="Cambria" w:eastAsiaTheme="minorHAnsi" w:hAnsi="Cambria"/>
      <w:color w:val="365F91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uiPriority w:val="99"/>
    <w:rsid w:val="00821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5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A6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5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A6C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E71F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6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ADB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ADB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D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09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94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0A59"/>
    <w:rPr>
      <w:rFonts w:ascii="Cambria" w:hAnsi="Cambria" w:cs="Times New Roman"/>
      <w:color w:val="365F91"/>
      <w:kern w:val="3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ighered.colorado.gov/Academics/Transfers/gtPathways/curriculum/GT-Pathways-Checklist.pdf" TargetMode="Externa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highered.colorado.gov/Data/Degrees.aspx?gtp=no" TargetMode="Externa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highered.colorado.gov/Academics/Transfers/gtPathways/curriculu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Mary Anne</dc:creator>
  <cp:lastModifiedBy>Hunt, Cori</cp:lastModifiedBy>
  <cp:revision>2</cp:revision>
  <dcterms:created xsi:type="dcterms:W3CDTF">2018-10-26T20:04:00Z</dcterms:created>
  <dcterms:modified xsi:type="dcterms:W3CDTF">2018-10-26T20:04:00Z</dcterms:modified>
</cp:coreProperties>
</file>