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BA99DD8" w14:textId="77777777" w:rsidR="00F8252E" w:rsidRPr="00F8252E" w:rsidRDefault="00CC1C83" w:rsidP="00F8252E">
      <w:pPr>
        <w:pStyle w:val="Subhead"/>
        <w:rPr>
          <w:sz w:val="24"/>
        </w:rPr>
      </w:pPr>
      <w:r w:rsidRPr="009A1646">
        <w:rPr>
          <w:noProof/>
          <w:sz w:val="20"/>
        </w:rPr>
        <mc:AlternateContent>
          <mc:Choice Requires="wps">
            <w:drawing>
              <wp:anchor distT="182880" distB="182880" distL="182880" distR="182880" simplePos="0" relativeHeight="251663360" behindDoc="1" locked="0" layoutInCell="1" allowOverlap="1" wp14:anchorId="361FC2FD" wp14:editId="7B882A44">
                <wp:simplePos x="0" y="0"/>
                <wp:positionH relativeFrom="column">
                  <wp:posOffset>5059680</wp:posOffset>
                </wp:positionH>
                <wp:positionV relativeFrom="page">
                  <wp:posOffset>2057400</wp:posOffset>
                </wp:positionV>
                <wp:extent cx="2242185" cy="7376160"/>
                <wp:effectExtent l="0" t="0" r="5715" b="0"/>
                <wp:wrapTight wrapText="bothSides">
                  <wp:wrapPolygon edited="0">
                    <wp:start x="0" y="0"/>
                    <wp:lineTo x="0" y="21533"/>
                    <wp:lineTo x="21472" y="21533"/>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7616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151E" id="Rectangle 6" o:spid="_x0000_s1026" alt="Title: Grey shaded box - Description: Decorative only" style="position:absolute;margin-left:398.4pt;margin-top:162pt;width:176.55pt;height:580.8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DB24CD">
        <w:rPr>
          <w:sz w:val="24"/>
        </w:rPr>
        <w:t>Background</w:t>
      </w:r>
    </w:p>
    <w:p w14:paraId="351969C5" w14:textId="77777777" w:rsidR="00DB24CD" w:rsidRDefault="006D1910" w:rsidP="009A1646">
      <w:pPr>
        <w:pStyle w:val="Body"/>
        <w:rPr>
          <w:sz w:val="20"/>
        </w:rPr>
      </w:pPr>
      <w:r w:rsidRPr="009A1646">
        <w:rPr>
          <w:noProof/>
          <w:sz w:val="20"/>
        </w:rPr>
        <mc:AlternateContent>
          <mc:Choice Requires="wps">
            <w:drawing>
              <wp:anchor distT="0" distB="0" distL="114300" distR="114300" simplePos="0" relativeHeight="251666432" behindDoc="0" locked="0" layoutInCell="1" allowOverlap="1" wp14:anchorId="1DCD11FC" wp14:editId="5F37C404">
                <wp:simplePos x="0" y="0"/>
                <wp:positionH relativeFrom="column">
                  <wp:posOffset>5181600</wp:posOffset>
                </wp:positionH>
                <wp:positionV relativeFrom="page">
                  <wp:posOffset>2186940</wp:posOffset>
                </wp:positionV>
                <wp:extent cx="1895475" cy="7254240"/>
                <wp:effectExtent l="0" t="0" r="9525" b="3810"/>
                <wp:wrapNone/>
                <wp:docPr id="8" name="Text Box 8"/>
                <wp:cNvGraphicFramePr/>
                <a:graphic xmlns:a="http://schemas.openxmlformats.org/drawingml/2006/main">
                  <a:graphicData uri="http://schemas.microsoft.com/office/word/2010/wordprocessingShape">
                    <wps:wsp>
                      <wps:cNvSpPr txBox="1"/>
                      <wps:spPr>
                        <a:xfrm>
                          <a:off x="0" y="0"/>
                          <a:ext cx="1895475" cy="7254240"/>
                        </a:xfrm>
                        <a:prstGeom prst="rect">
                          <a:avLst/>
                        </a:prstGeom>
                        <a:noFill/>
                        <a:ln w="6350">
                          <a:noFill/>
                        </a:ln>
                      </wps:spPr>
                      <wps:txbx>
                        <w:txbxContent>
                          <w:p w14:paraId="7AE17ED9" w14:textId="77777777" w:rsidR="000E4F3F" w:rsidRPr="006D1910" w:rsidRDefault="000E4F3F" w:rsidP="006D1910">
                            <w:pPr>
                              <w:pStyle w:val="SubheadTrebuchet"/>
                            </w:pPr>
                            <w:r w:rsidRPr="006D1910">
                              <w:t>Frequently Asked Questions</w:t>
                            </w:r>
                          </w:p>
                          <w:p w14:paraId="37CC37EE" w14:textId="77777777" w:rsidR="000E4F3F" w:rsidRPr="006D1910" w:rsidRDefault="000E4F3F" w:rsidP="00960C4E">
                            <w:pPr>
                              <w:pStyle w:val="Body"/>
                              <w:rPr>
                                <w:sz w:val="19"/>
                                <w:szCs w:val="19"/>
                              </w:rPr>
                            </w:pPr>
                            <w:r w:rsidRPr="006D1910">
                              <w:rPr>
                                <w:b/>
                                <w:sz w:val="19"/>
                                <w:szCs w:val="19"/>
                              </w:rPr>
                              <w:t xml:space="preserve">Q:  </w:t>
                            </w:r>
                            <w:r w:rsidR="00AA5538" w:rsidRPr="006D1910">
                              <w:rPr>
                                <w:b/>
                                <w:sz w:val="19"/>
                                <w:szCs w:val="19"/>
                              </w:rPr>
                              <w:t>Do I need to submit any additional information</w:t>
                            </w:r>
                            <w:r w:rsidR="00542D90" w:rsidRPr="006D1910">
                              <w:rPr>
                                <w:b/>
                                <w:sz w:val="19"/>
                                <w:szCs w:val="19"/>
                              </w:rPr>
                              <w:t xml:space="preserve"> to CDE to be in compliance with the MOE requirements?</w:t>
                            </w:r>
                          </w:p>
                          <w:p w14:paraId="308A6AEC" w14:textId="77777777" w:rsidR="000E4F3F" w:rsidRPr="006D1910" w:rsidRDefault="000E4F3F" w:rsidP="00960C4E">
                            <w:pPr>
                              <w:pStyle w:val="Body"/>
                              <w:rPr>
                                <w:sz w:val="19"/>
                                <w:szCs w:val="19"/>
                              </w:rPr>
                            </w:pPr>
                            <w:r w:rsidRPr="006D1910">
                              <w:rPr>
                                <w:sz w:val="19"/>
                                <w:szCs w:val="19"/>
                              </w:rPr>
                              <w:t xml:space="preserve">A:  No.  LEAs </w:t>
                            </w:r>
                            <w:r w:rsidR="00542D90" w:rsidRPr="006D1910">
                              <w:rPr>
                                <w:sz w:val="19"/>
                                <w:szCs w:val="19"/>
                              </w:rPr>
                              <w:t>have submitted an assurance in the ESEA General Assurances</w:t>
                            </w:r>
                            <w:r w:rsidR="00A52EF8" w:rsidRPr="006D1910">
                              <w:rPr>
                                <w:sz w:val="19"/>
                                <w:szCs w:val="19"/>
                              </w:rPr>
                              <w:t xml:space="preserve"> form</w:t>
                            </w:r>
                            <w:r w:rsidR="00542D90" w:rsidRPr="006D1910">
                              <w:rPr>
                                <w:sz w:val="19"/>
                                <w:szCs w:val="19"/>
                              </w:rPr>
                              <w:t xml:space="preserve"> to acknowledge the LEA is in compliance with applicable statutory requirements.  Data required to determine compliance with MOE is currently collected through processes already in place at CDE.</w:t>
                            </w:r>
                          </w:p>
                          <w:p w14:paraId="4934A1D2" w14:textId="77777777" w:rsidR="00D059AF" w:rsidRPr="006D1910" w:rsidRDefault="000E4F3F" w:rsidP="00141D81">
                            <w:pPr>
                              <w:pStyle w:val="Body"/>
                              <w:rPr>
                                <w:b/>
                                <w:sz w:val="19"/>
                                <w:szCs w:val="19"/>
                              </w:rPr>
                            </w:pPr>
                            <w:r w:rsidRPr="006D1910">
                              <w:rPr>
                                <w:b/>
                                <w:sz w:val="19"/>
                                <w:szCs w:val="19"/>
                              </w:rPr>
                              <w:t xml:space="preserve">Q:  </w:t>
                            </w:r>
                            <w:r w:rsidR="00141D81" w:rsidRPr="006D1910">
                              <w:rPr>
                                <w:b/>
                                <w:sz w:val="19"/>
                                <w:szCs w:val="19"/>
                              </w:rPr>
                              <w:t>When CDE determines MOE for LEAs, does it use the same measure for all of the LEAs?</w:t>
                            </w:r>
                          </w:p>
                          <w:p w14:paraId="0330D713" w14:textId="77777777" w:rsidR="00141D81" w:rsidRPr="006D1910" w:rsidRDefault="00141D81" w:rsidP="00141D81">
                            <w:pPr>
                              <w:pStyle w:val="Body"/>
                              <w:rPr>
                                <w:sz w:val="19"/>
                                <w:szCs w:val="19"/>
                              </w:rPr>
                            </w:pPr>
                            <w:r w:rsidRPr="006D1910">
                              <w:rPr>
                                <w:sz w:val="19"/>
                                <w:szCs w:val="19"/>
                              </w:rPr>
                              <w:t xml:space="preserve">A:  No.  CDE will determine MOE using the measure most favorable to each LEA.  </w:t>
                            </w:r>
                          </w:p>
                          <w:p w14:paraId="03B7A8F5" w14:textId="77777777" w:rsidR="00A52EF8" w:rsidRPr="006D1910" w:rsidRDefault="00A52EF8" w:rsidP="00141D81">
                            <w:pPr>
                              <w:pStyle w:val="Body"/>
                              <w:rPr>
                                <w:b/>
                                <w:sz w:val="19"/>
                                <w:szCs w:val="19"/>
                              </w:rPr>
                            </w:pPr>
                            <w:r w:rsidRPr="006D1910">
                              <w:rPr>
                                <w:b/>
                                <w:sz w:val="19"/>
                                <w:szCs w:val="19"/>
                              </w:rPr>
                              <w:t xml:space="preserve">Q:  How does a waiver of </w:t>
                            </w:r>
                            <w:r w:rsidR="006B26DE" w:rsidRPr="006D1910">
                              <w:rPr>
                                <w:b/>
                                <w:sz w:val="19"/>
                                <w:szCs w:val="19"/>
                              </w:rPr>
                              <w:t>MOE</w:t>
                            </w:r>
                            <w:r w:rsidRPr="006D1910">
                              <w:rPr>
                                <w:b/>
                                <w:sz w:val="19"/>
                                <w:szCs w:val="19"/>
                              </w:rPr>
                              <w:t xml:space="preserve"> affect an SEA’s determination of whether an LEA failed to maintain effort for one or more of the five immediately preceding fiscal years?</w:t>
                            </w:r>
                          </w:p>
                          <w:p w14:paraId="37D96333" w14:textId="77777777" w:rsidR="00A52EF8" w:rsidRPr="006D1910" w:rsidRDefault="00A52EF8" w:rsidP="00141D81">
                            <w:pPr>
                              <w:pStyle w:val="Body"/>
                              <w:rPr>
                                <w:sz w:val="19"/>
                                <w:szCs w:val="19"/>
                              </w:rPr>
                            </w:pPr>
                            <w:r w:rsidRPr="006D1910">
                              <w:rPr>
                                <w:sz w:val="19"/>
                                <w:szCs w:val="19"/>
                              </w:rPr>
                              <w:t xml:space="preserve">A: If an LEA receives a waiver of the </w:t>
                            </w:r>
                            <w:r w:rsidR="006B26DE" w:rsidRPr="006D1910">
                              <w:rPr>
                                <w:sz w:val="19"/>
                                <w:szCs w:val="19"/>
                              </w:rPr>
                              <w:t>MOE</w:t>
                            </w:r>
                            <w:r w:rsidRPr="006D1910">
                              <w:rPr>
                                <w:sz w:val="19"/>
                                <w:szCs w:val="19"/>
                              </w:rPr>
                              <w:t xml:space="preserve"> requirement from the </w:t>
                            </w:r>
                            <w:r w:rsidR="00DC5606" w:rsidRPr="006D1910">
                              <w:rPr>
                                <w:sz w:val="19"/>
                                <w:szCs w:val="19"/>
                              </w:rPr>
                              <w:t>USDE</w:t>
                            </w:r>
                            <w:r w:rsidRPr="006D1910">
                              <w:rPr>
                                <w:sz w:val="19"/>
                                <w:szCs w:val="19"/>
                              </w:rPr>
                              <w:t xml:space="preserve"> for a given fiscal year, the LEA has effectively maintained effort for that fiscal year. Accordingly, in determining whether the LEA had failed to maintain effort for one or more of the five immediately preceding fiscal years, the SEA would count the year in which the LEA received a waiver as a year of maintaining effort.</w:t>
                            </w:r>
                          </w:p>
                          <w:p w14:paraId="29BF5BBC" w14:textId="77777777" w:rsidR="006D1910" w:rsidRPr="006D1910" w:rsidRDefault="006D1910" w:rsidP="006D1910">
                            <w:pPr>
                              <w:pStyle w:val="Body"/>
                              <w:rPr>
                                <w:b/>
                                <w:sz w:val="19"/>
                                <w:szCs w:val="19"/>
                              </w:rPr>
                            </w:pPr>
                            <w:r w:rsidRPr="006D1910">
                              <w:rPr>
                                <w:b/>
                                <w:sz w:val="19"/>
                                <w:szCs w:val="19"/>
                              </w:rPr>
                              <w:t>Q: When will MOE be calculated?</w:t>
                            </w:r>
                          </w:p>
                          <w:p w14:paraId="2D2EF90A" w14:textId="77777777" w:rsidR="006D1910" w:rsidRPr="006D1910" w:rsidRDefault="006D1910" w:rsidP="006D1910">
                            <w:pPr>
                              <w:pStyle w:val="Body"/>
                              <w:rPr>
                                <w:sz w:val="19"/>
                                <w:szCs w:val="19"/>
                              </w:rPr>
                            </w:pPr>
                            <w:r w:rsidRPr="006D1910">
                              <w:rPr>
                                <w:sz w:val="19"/>
                                <w:szCs w:val="19"/>
                              </w:rPr>
                              <w:t>A: CDE will run the preliminary review of ESEA MOE in late spring, based on finalized finance December data pipeline submissions for the preceding fiscal year.</w:t>
                            </w:r>
                          </w:p>
                          <w:p w14:paraId="7E14C1E1" w14:textId="77777777" w:rsidR="006D1910" w:rsidRPr="006D1910" w:rsidRDefault="006D1910" w:rsidP="00141D81">
                            <w:pPr>
                              <w:pStyle w:val="Body"/>
                              <w:rPr>
                                <w:b/>
                                <w:sz w:val="19"/>
                                <w:szCs w:val="19"/>
                              </w:rPr>
                            </w:pPr>
                          </w:p>
                          <w:p w14:paraId="7D5EDF5A" w14:textId="77777777" w:rsidR="000E4F3F" w:rsidRPr="006D1910" w:rsidRDefault="000E4F3F" w:rsidP="006D0275">
                            <w:pPr>
                              <w:pStyle w:val="Body"/>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D11FC" id="_x0000_t202" coordsize="21600,21600" o:spt="202" path="m,l,21600r21600,l21600,xe">
                <v:stroke joinstyle="miter"/>
                <v:path gradientshapeok="t" o:connecttype="rect"/>
              </v:shapetype>
              <v:shape id="Text Box 8" o:spid="_x0000_s1026" type="#_x0000_t202" style="position:absolute;margin-left:408pt;margin-top:172.2pt;width:149.25pt;height:57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" filled="f" stroked="f" strokeweight=".5pt">
                <v:textbox inset="0,0,0,0">
                  <w:txbxContent>
                    <w:p w14:paraId="7AE17ED9" w14:textId="77777777" w:rsidR="000E4F3F" w:rsidRPr="006D1910" w:rsidRDefault="000E4F3F" w:rsidP="006D1910">
                      <w:pPr>
                        <w:pStyle w:val="SubheadTrebuchet"/>
                      </w:pPr>
                      <w:r w:rsidRPr="006D1910">
                        <w:t>Frequently Asked Questions</w:t>
                      </w:r>
                    </w:p>
                    <w:p w14:paraId="37CC37EE" w14:textId="77777777" w:rsidR="000E4F3F" w:rsidRPr="006D1910" w:rsidRDefault="000E4F3F" w:rsidP="00960C4E">
                      <w:pPr>
                        <w:pStyle w:val="Body"/>
                        <w:rPr>
                          <w:sz w:val="19"/>
                          <w:szCs w:val="19"/>
                        </w:rPr>
                      </w:pPr>
                      <w:r w:rsidRPr="006D1910">
                        <w:rPr>
                          <w:b/>
                          <w:sz w:val="19"/>
                          <w:szCs w:val="19"/>
                        </w:rPr>
                        <w:t xml:space="preserve">Q:  </w:t>
                      </w:r>
                      <w:r w:rsidR="00AA5538" w:rsidRPr="006D1910">
                        <w:rPr>
                          <w:b/>
                          <w:sz w:val="19"/>
                          <w:szCs w:val="19"/>
                        </w:rPr>
                        <w:t>Do I need to submit any additional information</w:t>
                      </w:r>
                      <w:r w:rsidR="00542D90" w:rsidRPr="006D1910">
                        <w:rPr>
                          <w:b/>
                          <w:sz w:val="19"/>
                          <w:szCs w:val="19"/>
                        </w:rPr>
                        <w:t xml:space="preserve"> to CDE to be in compliance with the MOE requirements?</w:t>
                      </w:r>
                    </w:p>
                    <w:p w14:paraId="308A6AEC" w14:textId="77777777" w:rsidR="000E4F3F" w:rsidRPr="006D1910" w:rsidRDefault="000E4F3F" w:rsidP="00960C4E">
                      <w:pPr>
                        <w:pStyle w:val="Body"/>
                        <w:rPr>
                          <w:sz w:val="19"/>
                          <w:szCs w:val="19"/>
                        </w:rPr>
                      </w:pPr>
                      <w:r w:rsidRPr="006D1910">
                        <w:rPr>
                          <w:sz w:val="19"/>
                          <w:szCs w:val="19"/>
                        </w:rPr>
                        <w:t xml:space="preserve">A:  No.  LEAs </w:t>
                      </w:r>
                      <w:r w:rsidR="00542D90" w:rsidRPr="006D1910">
                        <w:rPr>
                          <w:sz w:val="19"/>
                          <w:szCs w:val="19"/>
                        </w:rPr>
                        <w:t>have submitted an assurance in the ESEA General Assurances</w:t>
                      </w:r>
                      <w:r w:rsidR="00A52EF8" w:rsidRPr="006D1910">
                        <w:rPr>
                          <w:sz w:val="19"/>
                          <w:szCs w:val="19"/>
                        </w:rPr>
                        <w:t xml:space="preserve"> form</w:t>
                      </w:r>
                      <w:r w:rsidR="00542D90" w:rsidRPr="006D1910">
                        <w:rPr>
                          <w:sz w:val="19"/>
                          <w:szCs w:val="19"/>
                        </w:rPr>
                        <w:t xml:space="preserve"> to acknowledge the LEA is in compliance with applicable statutory requirements.  Data required to determine compliance with MOE is currently collected through processes already in place at CDE.</w:t>
                      </w:r>
                    </w:p>
                    <w:p w14:paraId="4934A1D2" w14:textId="77777777" w:rsidR="00D059AF" w:rsidRPr="006D1910" w:rsidRDefault="000E4F3F" w:rsidP="00141D81">
                      <w:pPr>
                        <w:pStyle w:val="Body"/>
                        <w:rPr>
                          <w:b/>
                          <w:sz w:val="19"/>
                          <w:szCs w:val="19"/>
                        </w:rPr>
                      </w:pPr>
                      <w:r w:rsidRPr="006D1910">
                        <w:rPr>
                          <w:b/>
                          <w:sz w:val="19"/>
                          <w:szCs w:val="19"/>
                        </w:rPr>
                        <w:t xml:space="preserve">Q:  </w:t>
                      </w:r>
                      <w:r w:rsidR="00141D81" w:rsidRPr="006D1910">
                        <w:rPr>
                          <w:b/>
                          <w:sz w:val="19"/>
                          <w:szCs w:val="19"/>
                        </w:rPr>
                        <w:t>When CDE determines MOE for LEAs, does it use the same measure for all of the LEAs?</w:t>
                      </w:r>
                    </w:p>
                    <w:p w14:paraId="0330D713" w14:textId="77777777" w:rsidR="00141D81" w:rsidRPr="006D1910" w:rsidRDefault="00141D81" w:rsidP="00141D81">
                      <w:pPr>
                        <w:pStyle w:val="Body"/>
                        <w:rPr>
                          <w:sz w:val="19"/>
                          <w:szCs w:val="19"/>
                        </w:rPr>
                      </w:pPr>
                      <w:r w:rsidRPr="006D1910">
                        <w:rPr>
                          <w:sz w:val="19"/>
                          <w:szCs w:val="19"/>
                        </w:rPr>
                        <w:t xml:space="preserve">A:  No.  CDE will determine MOE using the measure most favorable to each LEA.  </w:t>
                      </w:r>
                    </w:p>
                    <w:p w14:paraId="03B7A8F5" w14:textId="77777777" w:rsidR="00A52EF8" w:rsidRPr="006D1910" w:rsidRDefault="00A52EF8" w:rsidP="00141D81">
                      <w:pPr>
                        <w:pStyle w:val="Body"/>
                        <w:rPr>
                          <w:b/>
                          <w:sz w:val="19"/>
                          <w:szCs w:val="19"/>
                        </w:rPr>
                      </w:pPr>
                      <w:r w:rsidRPr="006D1910">
                        <w:rPr>
                          <w:b/>
                          <w:sz w:val="19"/>
                          <w:szCs w:val="19"/>
                        </w:rPr>
                        <w:t xml:space="preserve">Q:  How does a waiver of </w:t>
                      </w:r>
                      <w:r w:rsidR="006B26DE" w:rsidRPr="006D1910">
                        <w:rPr>
                          <w:b/>
                          <w:sz w:val="19"/>
                          <w:szCs w:val="19"/>
                        </w:rPr>
                        <w:t>MOE</w:t>
                      </w:r>
                      <w:r w:rsidRPr="006D1910">
                        <w:rPr>
                          <w:b/>
                          <w:sz w:val="19"/>
                          <w:szCs w:val="19"/>
                        </w:rPr>
                        <w:t xml:space="preserve"> affect an SEA’s determination of whether an LEA failed to maintain effort for one or more of the five immediately preceding fiscal years?</w:t>
                      </w:r>
                    </w:p>
                    <w:p w14:paraId="37D96333" w14:textId="77777777" w:rsidR="00A52EF8" w:rsidRPr="006D1910" w:rsidRDefault="00A52EF8" w:rsidP="00141D81">
                      <w:pPr>
                        <w:pStyle w:val="Body"/>
                        <w:rPr>
                          <w:sz w:val="19"/>
                          <w:szCs w:val="19"/>
                        </w:rPr>
                      </w:pPr>
                      <w:r w:rsidRPr="006D1910">
                        <w:rPr>
                          <w:sz w:val="19"/>
                          <w:szCs w:val="19"/>
                        </w:rPr>
                        <w:t xml:space="preserve">A: If an LEA receives a waiver of the </w:t>
                      </w:r>
                      <w:r w:rsidR="006B26DE" w:rsidRPr="006D1910">
                        <w:rPr>
                          <w:sz w:val="19"/>
                          <w:szCs w:val="19"/>
                        </w:rPr>
                        <w:t>MOE</w:t>
                      </w:r>
                      <w:r w:rsidRPr="006D1910">
                        <w:rPr>
                          <w:sz w:val="19"/>
                          <w:szCs w:val="19"/>
                        </w:rPr>
                        <w:t xml:space="preserve"> requirement from the </w:t>
                      </w:r>
                      <w:r w:rsidR="00DC5606" w:rsidRPr="006D1910">
                        <w:rPr>
                          <w:sz w:val="19"/>
                          <w:szCs w:val="19"/>
                        </w:rPr>
                        <w:t>USDE</w:t>
                      </w:r>
                      <w:r w:rsidRPr="006D1910">
                        <w:rPr>
                          <w:sz w:val="19"/>
                          <w:szCs w:val="19"/>
                        </w:rPr>
                        <w:t xml:space="preserve"> for a given fiscal year, the LEA has effectively maintained effort for that fiscal year. Accordingly, in determining whether the LEA had failed to maintain effort for one or more of the five immediately preceding fiscal years, the SEA would count the year in which the LEA received a waiver as a year of maintaining effort.</w:t>
                      </w:r>
                    </w:p>
                    <w:p w14:paraId="29BF5BBC" w14:textId="77777777" w:rsidR="006D1910" w:rsidRPr="006D1910" w:rsidRDefault="006D1910" w:rsidP="006D1910">
                      <w:pPr>
                        <w:pStyle w:val="Body"/>
                        <w:rPr>
                          <w:b/>
                          <w:sz w:val="19"/>
                          <w:szCs w:val="19"/>
                        </w:rPr>
                      </w:pPr>
                      <w:r w:rsidRPr="006D1910">
                        <w:rPr>
                          <w:b/>
                          <w:sz w:val="19"/>
                          <w:szCs w:val="19"/>
                        </w:rPr>
                        <w:t>Q: When will MOE be calculated?</w:t>
                      </w:r>
                    </w:p>
                    <w:p w14:paraId="2D2EF90A" w14:textId="77777777" w:rsidR="006D1910" w:rsidRPr="006D1910" w:rsidRDefault="006D1910" w:rsidP="006D1910">
                      <w:pPr>
                        <w:pStyle w:val="Body"/>
                        <w:rPr>
                          <w:sz w:val="19"/>
                          <w:szCs w:val="19"/>
                        </w:rPr>
                      </w:pPr>
                      <w:r w:rsidRPr="006D1910">
                        <w:rPr>
                          <w:sz w:val="19"/>
                          <w:szCs w:val="19"/>
                        </w:rPr>
                        <w:t>A: CDE will run the preliminary review of ESEA MOE in late spring, based on finalized finance December data pipeline submissions for the preceding fiscal year.</w:t>
                      </w:r>
                    </w:p>
                    <w:p w14:paraId="7E14C1E1" w14:textId="77777777" w:rsidR="006D1910" w:rsidRPr="006D1910" w:rsidRDefault="006D1910" w:rsidP="00141D81">
                      <w:pPr>
                        <w:pStyle w:val="Body"/>
                        <w:rPr>
                          <w:b/>
                          <w:sz w:val="19"/>
                          <w:szCs w:val="19"/>
                        </w:rPr>
                      </w:pPr>
                    </w:p>
                    <w:p w14:paraId="7D5EDF5A" w14:textId="77777777" w:rsidR="000E4F3F" w:rsidRPr="006D1910" w:rsidRDefault="000E4F3F" w:rsidP="006D0275">
                      <w:pPr>
                        <w:pStyle w:val="Body"/>
                        <w:rPr>
                          <w:sz w:val="18"/>
                        </w:rPr>
                      </w:pPr>
                    </w:p>
                  </w:txbxContent>
                </v:textbox>
                <w10:wrap anchory="page"/>
              </v:shape>
            </w:pict>
          </mc:Fallback>
        </mc:AlternateContent>
      </w:r>
      <w:r w:rsidR="004B26FF" w:rsidRPr="00025E6D">
        <w:rPr>
          <w:sz w:val="20"/>
        </w:rPr>
        <w:t>T</w:t>
      </w:r>
      <w:r w:rsidR="004B26FF" w:rsidRPr="009A1646">
        <w:rPr>
          <w:sz w:val="20"/>
        </w:rPr>
        <w:t xml:space="preserve">he Elementary and Secondary Education Act (ESEA), reauthorized as the Every Student Succeeds Act (ESSA), states that the purpose of Title I, Part A is to “provide all children significant opportunity to receive a fair, equitable, and high-quality education, and to close educational achievement gaps.” </w:t>
      </w:r>
      <w:r w:rsidR="000B6FBD" w:rsidRPr="009A1646">
        <w:rPr>
          <w:sz w:val="20"/>
        </w:rPr>
        <w:t xml:space="preserve"> </w:t>
      </w:r>
      <w:r w:rsidR="00DB24CD">
        <w:rPr>
          <w:sz w:val="20"/>
        </w:rPr>
        <w:t>Due to the intended supplemental nature of ESEA funds, s</w:t>
      </w:r>
      <w:r w:rsidR="000B6FBD" w:rsidRPr="009A1646">
        <w:rPr>
          <w:sz w:val="20"/>
        </w:rPr>
        <w:t>ection 111</w:t>
      </w:r>
      <w:r w:rsidR="000748A2" w:rsidRPr="009A1646">
        <w:rPr>
          <w:sz w:val="20"/>
        </w:rPr>
        <w:t>8</w:t>
      </w:r>
      <w:r w:rsidR="00A21316" w:rsidRPr="009A1646">
        <w:rPr>
          <w:sz w:val="20"/>
        </w:rPr>
        <w:t xml:space="preserve"> </w:t>
      </w:r>
      <w:r w:rsidR="000B6FBD" w:rsidRPr="009A1646">
        <w:rPr>
          <w:sz w:val="20"/>
        </w:rPr>
        <w:t xml:space="preserve">of the ESSA </w:t>
      </w:r>
      <w:r w:rsidRPr="009A1646">
        <w:rPr>
          <w:sz w:val="20"/>
        </w:rPr>
        <w:t>requires</w:t>
      </w:r>
      <w:r>
        <w:rPr>
          <w:sz w:val="20"/>
        </w:rPr>
        <w:t xml:space="preserve"> each </w:t>
      </w:r>
      <w:r w:rsidRPr="009A1646">
        <w:rPr>
          <w:sz w:val="20"/>
        </w:rPr>
        <w:t>local</w:t>
      </w:r>
      <w:r w:rsidR="000B6FBD" w:rsidRPr="009A1646">
        <w:rPr>
          <w:sz w:val="20"/>
        </w:rPr>
        <w:t xml:space="preserve"> educational agenc</w:t>
      </w:r>
      <w:r w:rsidR="002F0384">
        <w:rPr>
          <w:sz w:val="20"/>
        </w:rPr>
        <w:t>y</w:t>
      </w:r>
      <w:r w:rsidR="009E04BA" w:rsidRPr="009A1646">
        <w:rPr>
          <w:sz w:val="20"/>
        </w:rPr>
        <w:t xml:space="preserve"> (LEA)</w:t>
      </w:r>
      <w:r w:rsidR="000B6FBD" w:rsidRPr="009A1646">
        <w:rPr>
          <w:sz w:val="20"/>
        </w:rPr>
        <w:t xml:space="preserve"> to </w:t>
      </w:r>
      <w:r w:rsidR="00A21316" w:rsidRPr="009A1646">
        <w:rPr>
          <w:sz w:val="20"/>
        </w:rPr>
        <w:t>maintain</w:t>
      </w:r>
      <w:r w:rsidR="002F0384">
        <w:rPr>
          <w:sz w:val="20"/>
        </w:rPr>
        <w:t xml:space="preserve"> its </w:t>
      </w:r>
      <w:r w:rsidR="00D14AB5" w:rsidRPr="009A1646">
        <w:rPr>
          <w:sz w:val="20"/>
        </w:rPr>
        <w:t xml:space="preserve">own state and local </w:t>
      </w:r>
      <w:r w:rsidR="00A21316" w:rsidRPr="009A1646">
        <w:rPr>
          <w:sz w:val="20"/>
        </w:rPr>
        <w:t>fiscal effort</w:t>
      </w:r>
      <w:r w:rsidR="00D14AB5" w:rsidRPr="009A1646">
        <w:rPr>
          <w:sz w:val="20"/>
        </w:rPr>
        <w:t>,</w:t>
      </w:r>
      <w:r w:rsidR="00A21316" w:rsidRPr="009A1646">
        <w:rPr>
          <w:sz w:val="20"/>
        </w:rPr>
        <w:t xml:space="preserve"> </w:t>
      </w:r>
      <w:r w:rsidR="00D14AB5" w:rsidRPr="009A1646">
        <w:rPr>
          <w:sz w:val="20"/>
        </w:rPr>
        <w:t>in accordance with section 8521, as a condition of receipt of ESEA funds.</w:t>
      </w:r>
      <w:r w:rsidR="00DB24CD">
        <w:rPr>
          <w:sz w:val="20"/>
        </w:rPr>
        <w:t xml:space="preserve">  The maintenance of effort (MOE) requirement ensures that state and local funds are expended at the same</w:t>
      </w:r>
      <w:r w:rsidR="006D7632">
        <w:rPr>
          <w:sz w:val="20"/>
        </w:rPr>
        <w:t xml:space="preserve"> - or similar - </w:t>
      </w:r>
      <w:r w:rsidR="00DB24CD">
        <w:rPr>
          <w:sz w:val="20"/>
        </w:rPr>
        <w:t>level from year to year, enabling federal funds to s</w:t>
      </w:r>
      <w:r w:rsidR="006D7632">
        <w:rPr>
          <w:sz w:val="20"/>
        </w:rPr>
        <w:t>erve as a supplemental resource for LEAs.</w:t>
      </w:r>
    </w:p>
    <w:p w14:paraId="2AFB7F9D" w14:textId="77777777" w:rsidR="00A21316" w:rsidRDefault="00DB24CD" w:rsidP="00D059AF">
      <w:pPr>
        <w:pStyle w:val="Body"/>
        <w:spacing w:after="120"/>
        <w:rPr>
          <w:sz w:val="20"/>
        </w:rPr>
      </w:pPr>
      <w:r>
        <w:rPr>
          <w:sz w:val="20"/>
        </w:rPr>
        <w:t xml:space="preserve">MOE requirements under ESSA </w:t>
      </w:r>
      <w:r w:rsidR="006D7632">
        <w:rPr>
          <w:sz w:val="20"/>
        </w:rPr>
        <w:t>apply to the following covered programs</w:t>
      </w:r>
      <w:r>
        <w:rPr>
          <w:sz w:val="20"/>
        </w:rPr>
        <w:t>:</w:t>
      </w:r>
    </w:p>
    <w:p w14:paraId="0D5B63BC" w14:textId="77777777" w:rsidR="00DB24CD" w:rsidRDefault="00DB24CD" w:rsidP="00D059AF">
      <w:pPr>
        <w:pStyle w:val="Body"/>
        <w:numPr>
          <w:ilvl w:val="0"/>
          <w:numId w:val="18"/>
        </w:numPr>
        <w:spacing w:after="120"/>
        <w:rPr>
          <w:sz w:val="20"/>
        </w:rPr>
      </w:pPr>
      <w:r>
        <w:rPr>
          <w:sz w:val="20"/>
        </w:rPr>
        <w:t>Title I, Part A – Improving Basic Programs Operated by Local Educational Agencies</w:t>
      </w:r>
    </w:p>
    <w:p w14:paraId="060DD188" w14:textId="77777777" w:rsidR="00DB24CD" w:rsidRDefault="00DB24CD" w:rsidP="00D059AF">
      <w:pPr>
        <w:pStyle w:val="Body"/>
        <w:numPr>
          <w:ilvl w:val="0"/>
          <w:numId w:val="18"/>
        </w:numPr>
        <w:spacing w:after="120"/>
        <w:rPr>
          <w:sz w:val="20"/>
        </w:rPr>
      </w:pPr>
      <w:r>
        <w:rPr>
          <w:sz w:val="20"/>
        </w:rPr>
        <w:t>Title I, Part D – Prevention and Intervention Programs for Children and Youth Who Are Neglected, Delinquent, or At-Risk</w:t>
      </w:r>
    </w:p>
    <w:p w14:paraId="5B2C04A7" w14:textId="77777777" w:rsidR="00DB24CD" w:rsidRDefault="00DB24CD" w:rsidP="00D059AF">
      <w:pPr>
        <w:pStyle w:val="Body"/>
        <w:numPr>
          <w:ilvl w:val="0"/>
          <w:numId w:val="18"/>
        </w:numPr>
        <w:spacing w:after="120"/>
        <w:rPr>
          <w:sz w:val="20"/>
        </w:rPr>
      </w:pPr>
      <w:r>
        <w:rPr>
          <w:sz w:val="20"/>
        </w:rPr>
        <w:t>Title II, Part A – Supporting Effective Instruction</w:t>
      </w:r>
    </w:p>
    <w:p w14:paraId="42BB67FD" w14:textId="77777777" w:rsidR="00DB24CD" w:rsidRDefault="00DB24CD" w:rsidP="00D059AF">
      <w:pPr>
        <w:pStyle w:val="Body"/>
        <w:numPr>
          <w:ilvl w:val="0"/>
          <w:numId w:val="18"/>
        </w:numPr>
        <w:spacing w:after="120"/>
        <w:rPr>
          <w:sz w:val="20"/>
        </w:rPr>
      </w:pPr>
      <w:r>
        <w:rPr>
          <w:sz w:val="20"/>
        </w:rPr>
        <w:t>Title III, Part A – English Language Acquisition, Language Enhancement, and Academic Achievement</w:t>
      </w:r>
    </w:p>
    <w:p w14:paraId="2A912F46" w14:textId="77777777" w:rsidR="00DB24CD" w:rsidRDefault="00DB24CD" w:rsidP="00D059AF">
      <w:pPr>
        <w:pStyle w:val="Body"/>
        <w:numPr>
          <w:ilvl w:val="0"/>
          <w:numId w:val="18"/>
        </w:numPr>
        <w:spacing w:after="120"/>
        <w:rPr>
          <w:sz w:val="20"/>
        </w:rPr>
      </w:pPr>
      <w:r>
        <w:rPr>
          <w:sz w:val="20"/>
        </w:rPr>
        <w:t>Title IV, Part B – 21st Century Community Learning Centers</w:t>
      </w:r>
    </w:p>
    <w:p w14:paraId="1ECF6C85" w14:textId="77777777" w:rsidR="00DB24CD" w:rsidRDefault="00DB24CD" w:rsidP="00D059AF">
      <w:pPr>
        <w:pStyle w:val="Body"/>
        <w:numPr>
          <w:ilvl w:val="0"/>
          <w:numId w:val="18"/>
        </w:numPr>
        <w:spacing w:after="120"/>
        <w:rPr>
          <w:sz w:val="20"/>
        </w:rPr>
      </w:pPr>
      <w:r>
        <w:rPr>
          <w:sz w:val="20"/>
        </w:rPr>
        <w:t>Title V, Part B – Rural and Low-Income School Programs</w:t>
      </w:r>
    </w:p>
    <w:p w14:paraId="1682E6DC" w14:textId="77777777" w:rsidR="00DB24CD" w:rsidRDefault="00DB24CD" w:rsidP="00D059AF">
      <w:pPr>
        <w:pStyle w:val="Body"/>
        <w:numPr>
          <w:ilvl w:val="0"/>
          <w:numId w:val="18"/>
        </w:numPr>
        <w:spacing w:after="120"/>
        <w:rPr>
          <w:sz w:val="20"/>
        </w:rPr>
      </w:pPr>
      <w:r>
        <w:rPr>
          <w:sz w:val="20"/>
        </w:rPr>
        <w:t>Title VI, Part A – Indian Education</w:t>
      </w:r>
    </w:p>
    <w:p w14:paraId="36DF56C5" w14:textId="77777777" w:rsidR="00587144" w:rsidRPr="00025E6D" w:rsidRDefault="001E097D" w:rsidP="006D0275">
      <w:pPr>
        <w:pStyle w:val="Subhead"/>
        <w:rPr>
          <w:sz w:val="24"/>
        </w:rPr>
      </w:pPr>
      <w:r w:rsidRPr="00025E6D">
        <w:rPr>
          <w:sz w:val="24"/>
        </w:rPr>
        <w:t>A</w:t>
      </w:r>
      <w:r w:rsidR="00F8252E">
        <w:rPr>
          <w:sz w:val="24"/>
        </w:rPr>
        <w:t>nnual Requirement</w:t>
      </w:r>
      <w:r w:rsidR="00DB24CD">
        <w:rPr>
          <w:sz w:val="24"/>
        </w:rPr>
        <w:t xml:space="preserve"> and Notice</w:t>
      </w:r>
    </w:p>
    <w:p w14:paraId="31109D08" w14:textId="150B85CF" w:rsidR="00CC1C83" w:rsidRDefault="009A1646" w:rsidP="00EC6A99">
      <w:pPr>
        <w:pStyle w:val="Body"/>
        <w:spacing w:after="120"/>
        <w:rPr>
          <w:sz w:val="20"/>
        </w:rPr>
      </w:pPr>
      <w:r>
        <w:rPr>
          <w:sz w:val="20"/>
        </w:rPr>
        <w:t>Section 8521</w:t>
      </w:r>
      <w:r w:rsidR="00542D90">
        <w:rPr>
          <w:sz w:val="20"/>
        </w:rPr>
        <w:t>(a) of the ESSA</w:t>
      </w:r>
      <w:r>
        <w:rPr>
          <w:sz w:val="20"/>
        </w:rPr>
        <w:t xml:space="preserve"> </w:t>
      </w:r>
      <w:r w:rsidRPr="00D14AB5">
        <w:rPr>
          <w:sz w:val="20"/>
        </w:rPr>
        <w:t>provides that LEAs may receive funds under a covered program for any fiscal year only if the State educational agency (SEA) finds that either the</w:t>
      </w:r>
      <w:r w:rsidR="00EC6A99">
        <w:rPr>
          <w:sz w:val="20"/>
        </w:rPr>
        <w:t xml:space="preserve"> </w:t>
      </w:r>
      <w:r w:rsidRPr="00D14AB5">
        <w:rPr>
          <w:sz w:val="20"/>
        </w:rPr>
        <w:t>combined fiscal effort per student</w:t>
      </w:r>
      <w:r w:rsidRPr="00D059AF">
        <w:rPr>
          <w:sz w:val="20"/>
        </w:rPr>
        <w:t xml:space="preserve"> or aggregate</w:t>
      </w:r>
      <w:r w:rsidR="00AA5538">
        <w:rPr>
          <w:sz w:val="20"/>
        </w:rPr>
        <w:t xml:space="preserve"> state and local</w:t>
      </w:r>
      <w:r w:rsidRPr="00D059AF">
        <w:rPr>
          <w:sz w:val="20"/>
        </w:rPr>
        <w:t xml:space="preserve"> expenditures of the LEA</w:t>
      </w:r>
      <w:r w:rsidR="00FA588F">
        <w:rPr>
          <w:rStyle w:val="FootnoteReference"/>
          <w:sz w:val="20"/>
        </w:rPr>
        <w:footnoteReference w:id="1"/>
      </w:r>
      <w:r w:rsidRPr="00D059AF">
        <w:rPr>
          <w:sz w:val="20"/>
        </w:rPr>
        <w:t xml:space="preserve"> was not less than 90 percent of the combined fiscal effort or aggregate expenditures for the second preceding fiscal year</w:t>
      </w:r>
      <w:r w:rsidR="006D1910">
        <w:rPr>
          <w:rStyle w:val="FootnoteReference"/>
          <w:sz w:val="20"/>
        </w:rPr>
        <w:footnoteReference w:id="2"/>
      </w:r>
      <w:r w:rsidRPr="00D059AF">
        <w:rPr>
          <w:sz w:val="20"/>
        </w:rPr>
        <w:t>.</w:t>
      </w:r>
      <w:r w:rsidR="006D7632" w:rsidRPr="00D059AF">
        <w:rPr>
          <w:sz w:val="20"/>
        </w:rPr>
        <w:t xml:space="preserve">  </w:t>
      </w:r>
      <w:r w:rsidR="00CC1C83" w:rsidRPr="00A52EF8">
        <w:rPr>
          <w:sz w:val="20"/>
        </w:rPr>
        <w:t xml:space="preserve">In other words, the Colorado Department of Education (CDE) must compare the LEA’s state and local fiscal effort, based on the </w:t>
      </w:r>
      <w:r w:rsidR="006D7632" w:rsidRPr="00A52EF8">
        <w:rPr>
          <w:sz w:val="20"/>
        </w:rPr>
        <w:t xml:space="preserve">more favorable of the </w:t>
      </w:r>
      <w:r w:rsidR="007F22B0" w:rsidRPr="00A52EF8">
        <w:rPr>
          <w:sz w:val="20"/>
        </w:rPr>
        <w:t xml:space="preserve">two </w:t>
      </w:r>
      <w:r w:rsidR="00CC1C83" w:rsidRPr="00A52EF8">
        <w:rPr>
          <w:sz w:val="20"/>
        </w:rPr>
        <w:t>meth</w:t>
      </w:r>
      <w:r w:rsidR="006D7632" w:rsidRPr="00A52EF8">
        <w:rPr>
          <w:sz w:val="20"/>
        </w:rPr>
        <w:t>ods for determining compliance</w:t>
      </w:r>
      <w:r w:rsidR="00CC1C83" w:rsidRPr="00A52EF8">
        <w:rPr>
          <w:sz w:val="20"/>
        </w:rPr>
        <w:t xml:space="preserve">, for the </w:t>
      </w:r>
      <w:r w:rsidR="00D059AF" w:rsidRPr="00A52EF8">
        <w:rPr>
          <w:sz w:val="20"/>
        </w:rPr>
        <w:t>preceding</w:t>
      </w:r>
      <w:r w:rsidR="00CC1C83" w:rsidRPr="00A52EF8">
        <w:rPr>
          <w:sz w:val="20"/>
        </w:rPr>
        <w:t xml:space="preserve"> fiscal year to </w:t>
      </w:r>
      <w:r w:rsidR="006D7632" w:rsidRPr="00A52EF8">
        <w:rPr>
          <w:sz w:val="20"/>
        </w:rPr>
        <w:t>the</w:t>
      </w:r>
      <w:r w:rsidR="00D059AF" w:rsidRPr="00A52EF8">
        <w:rPr>
          <w:sz w:val="20"/>
        </w:rPr>
        <w:t xml:space="preserve"> second</w:t>
      </w:r>
      <w:r w:rsidR="006D7632" w:rsidRPr="00A52EF8">
        <w:rPr>
          <w:sz w:val="20"/>
        </w:rPr>
        <w:t xml:space="preserve"> preceding fiscal year</w:t>
      </w:r>
      <w:r w:rsidR="00D059AF" w:rsidRPr="00A52EF8">
        <w:rPr>
          <w:sz w:val="20"/>
        </w:rPr>
        <w:t xml:space="preserve"> to determine whether the LEA has satisfied the </w:t>
      </w:r>
      <w:r w:rsidR="00AA5538">
        <w:rPr>
          <w:sz w:val="20"/>
        </w:rPr>
        <w:t>MOE requirements for the upcoming</w:t>
      </w:r>
      <w:r w:rsidR="00E7539C">
        <w:rPr>
          <w:sz w:val="20"/>
        </w:rPr>
        <w:t xml:space="preserve"> fiscal year’s allocation (when the </w:t>
      </w:r>
      <w:r w:rsidR="006D1910">
        <w:rPr>
          <w:sz w:val="20"/>
        </w:rPr>
        <w:t>f</w:t>
      </w:r>
      <w:r w:rsidR="00E7539C">
        <w:rPr>
          <w:sz w:val="20"/>
        </w:rPr>
        <w:t>ederal funds are first available).</w:t>
      </w:r>
    </w:p>
    <w:p w14:paraId="714DDA13" w14:textId="38DF231A" w:rsidR="009A1646" w:rsidRDefault="00AA5538" w:rsidP="00BA08B6">
      <w:pPr>
        <w:pStyle w:val="Body"/>
        <w:spacing w:after="120"/>
        <w:rPr>
          <w:sz w:val="20"/>
        </w:rPr>
      </w:pPr>
      <w:r>
        <w:rPr>
          <w:sz w:val="20"/>
        </w:rPr>
        <w:t xml:space="preserve">The LEA expenditures to be included or excluded in the determination of </w:t>
      </w:r>
      <w:r w:rsidR="00560459">
        <w:rPr>
          <w:sz w:val="20"/>
        </w:rPr>
        <w:t>MOE</w:t>
      </w:r>
      <w:r>
        <w:rPr>
          <w:sz w:val="20"/>
        </w:rPr>
        <w:t xml:space="preserve"> are defined by </w:t>
      </w:r>
      <w:r w:rsidR="006D1910">
        <w:rPr>
          <w:sz w:val="20"/>
        </w:rPr>
        <w:t>f</w:t>
      </w:r>
      <w:r>
        <w:rPr>
          <w:sz w:val="20"/>
        </w:rPr>
        <w:t xml:space="preserve">ederal regulations. See the link at the bottom of </w:t>
      </w:r>
      <w:r w:rsidR="003F4E8C">
        <w:rPr>
          <w:sz w:val="20"/>
        </w:rPr>
        <w:t>page three</w:t>
      </w:r>
      <w:r>
        <w:rPr>
          <w:sz w:val="20"/>
        </w:rPr>
        <w:t xml:space="preserve"> for more information on the </w:t>
      </w:r>
      <w:r w:rsidR="00BA08B6">
        <w:rPr>
          <w:sz w:val="20"/>
        </w:rPr>
        <w:t>s</w:t>
      </w:r>
      <w:r>
        <w:rPr>
          <w:sz w:val="20"/>
        </w:rPr>
        <w:t>pec</w:t>
      </w:r>
      <w:r w:rsidR="00E7539C">
        <w:rPr>
          <w:sz w:val="20"/>
        </w:rPr>
        <w:t>ifications</w:t>
      </w:r>
      <w:r>
        <w:rPr>
          <w:sz w:val="20"/>
        </w:rPr>
        <w:t xml:space="preserve"> used by CDE.</w:t>
      </w:r>
      <w:r w:rsidR="00BA08B6">
        <w:rPr>
          <w:sz w:val="20"/>
        </w:rPr>
        <w:t xml:space="preserve">  </w:t>
      </w:r>
      <w:r w:rsidR="009A1646" w:rsidRPr="00A52EF8">
        <w:rPr>
          <w:sz w:val="20"/>
        </w:rPr>
        <w:t>If the LEA fails to maintain effort, the SEA must</w:t>
      </w:r>
      <w:r w:rsidR="009A1646">
        <w:rPr>
          <w:sz w:val="20"/>
        </w:rPr>
        <w:t xml:space="preserve"> reduce the LEA’s allocation under a covered program in the exact proportion by which th</w:t>
      </w:r>
      <w:r w:rsidR="00E7539C">
        <w:rPr>
          <w:sz w:val="20"/>
        </w:rPr>
        <w:t xml:space="preserve">e LEA failed to maintain effort, unless a </w:t>
      </w:r>
      <w:r w:rsidR="00DC5606">
        <w:rPr>
          <w:sz w:val="20"/>
        </w:rPr>
        <w:t>U.S. Department of Education (</w:t>
      </w:r>
      <w:r w:rsidR="00E7539C">
        <w:rPr>
          <w:sz w:val="20"/>
        </w:rPr>
        <w:t>USDE</w:t>
      </w:r>
      <w:r w:rsidR="00DC5606">
        <w:rPr>
          <w:sz w:val="20"/>
        </w:rPr>
        <w:t>)</w:t>
      </w:r>
      <w:r w:rsidR="00E7539C">
        <w:rPr>
          <w:sz w:val="20"/>
        </w:rPr>
        <w:t xml:space="preserve"> waiver is granted.</w:t>
      </w:r>
      <w:r w:rsidR="008C0AEA">
        <w:rPr>
          <w:sz w:val="20"/>
        </w:rPr>
        <w:t xml:space="preserve"> </w:t>
      </w:r>
    </w:p>
    <w:p w14:paraId="52B3FD9E" w14:textId="77777777" w:rsidR="00356164" w:rsidRDefault="00CC1C83" w:rsidP="00A52EF8">
      <w:pPr>
        <w:pStyle w:val="Body"/>
        <w:spacing w:after="0"/>
        <w:rPr>
          <w:sz w:val="20"/>
        </w:rPr>
      </w:pPr>
      <w:r>
        <w:rPr>
          <w:sz w:val="20"/>
        </w:rPr>
        <w:lastRenderedPageBreak/>
        <w:t>C</w:t>
      </w:r>
      <w:r w:rsidR="009E04BA">
        <w:rPr>
          <w:sz w:val="20"/>
        </w:rPr>
        <w:t>DE</w:t>
      </w:r>
      <w:r w:rsidR="00A52EF8">
        <w:rPr>
          <w:sz w:val="20"/>
        </w:rPr>
        <w:t xml:space="preserve"> annually</w:t>
      </w:r>
      <w:r w:rsidR="001E097D" w:rsidRPr="00025E6D">
        <w:rPr>
          <w:sz w:val="20"/>
        </w:rPr>
        <w:t xml:space="preserve"> </w:t>
      </w:r>
      <w:r w:rsidR="00A52EF8">
        <w:rPr>
          <w:sz w:val="20"/>
        </w:rPr>
        <w:t>calculates the fiscal effort of each LEA, both the combined fiscal effort per student and the aggregate</w:t>
      </w:r>
      <w:r w:rsidR="00AA5538">
        <w:rPr>
          <w:sz w:val="20"/>
        </w:rPr>
        <w:t xml:space="preserve"> state and local</w:t>
      </w:r>
      <w:r w:rsidR="00A52EF8">
        <w:rPr>
          <w:sz w:val="20"/>
        </w:rPr>
        <w:t xml:space="preserve"> expenditures of the LEA, to determine</w:t>
      </w:r>
      <w:r w:rsidR="009A1646">
        <w:rPr>
          <w:sz w:val="20"/>
        </w:rPr>
        <w:t xml:space="preserve"> whether MOE requirements have been met </w:t>
      </w:r>
      <w:r w:rsidR="00A52EF8">
        <w:rPr>
          <w:sz w:val="20"/>
        </w:rPr>
        <w:t>through either method</w:t>
      </w:r>
      <w:r w:rsidR="009A1646">
        <w:rPr>
          <w:sz w:val="20"/>
        </w:rPr>
        <w:t>.</w:t>
      </w:r>
      <w:r w:rsidR="00A52EF8">
        <w:rPr>
          <w:sz w:val="20"/>
        </w:rPr>
        <w:t xml:space="preserve">  CDE </w:t>
      </w:r>
      <w:hyperlink r:id="rId8" w:history="1">
        <w:r w:rsidR="00A52EF8" w:rsidRPr="00A52EF8">
          <w:rPr>
            <w:rStyle w:val="Hyperlink"/>
            <w:sz w:val="20"/>
          </w:rPr>
          <w:t>communicates</w:t>
        </w:r>
        <w:r w:rsidR="00AA5538">
          <w:rPr>
            <w:rStyle w:val="Hyperlink"/>
            <w:sz w:val="20"/>
          </w:rPr>
          <w:t xml:space="preserve"> and publishes</w:t>
        </w:r>
        <w:r w:rsidR="00A52EF8" w:rsidRPr="00A52EF8">
          <w:rPr>
            <w:rStyle w:val="Hyperlink"/>
            <w:sz w:val="20"/>
          </w:rPr>
          <w:t xml:space="preserve"> the results</w:t>
        </w:r>
      </w:hyperlink>
      <w:r w:rsidR="00A52EF8">
        <w:rPr>
          <w:sz w:val="20"/>
        </w:rPr>
        <w:t xml:space="preserve"> for each LEA and </w:t>
      </w:r>
      <w:r w:rsidR="00A52EF8" w:rsidRPr="00A52EF8">
        <w:rPr>
          <w:sz w:val="20"/>
        </w:rPr>
        <w:t>notifies</w:t>
      </w:r>
      <w:r w:rsidR="00A52EF8">
        <w:rPr>
          <w:sz w:val="20"/>
        </w:rPr>
        <w:t xml:space="preserve"> LEAs that have not satisfied the MOE requirements through the initial calculation. </w:t>
      </w:r>
    </w:p>
    <w:p w14:paraId="5E1573D5" w14:textId="77777777" w:rsidR="00874511" w:rsidRDefault="00542D90" w:rsidP="00542D90">
      <w:pPr>
        <w:pStyle w:val="Subhead"/>
      </w:pPr>
      <w:r w:rsidRPr="00542D90">
        <w:rPr>
          <w:sz w:val="24"/>
        </w:rPr>
        <w:t>Waivers</w:t>
      </w:r>
    </w:p>
    <w:p w14:paraId="78099F9F" w14:textId="0A410C77" w:rsidR="00141D81" w:rsidRDefault="00542D90" w:rsidP="002A5525">
      <w:pPr>
        <w:rPr>
          <w:rFonts w:eastAsiaTheme="minorHAnsi" w:cs="Calibri"/>
          <w:color w:val="4E5758"/>
          <w:sz w:val="20"/>
          <w:szCs w:val="22"/>
        </w:rPr>
      </w:pPr>
      <w:r>
        <w:rPr>
          <w:rFonts w:eastAsiaTheme="minorHAnsi" w:cs="Calibri"/>
          <w:color w:val="4E5758"/>
          <w:sz w:val="20"/>
          <w:szCs w:val="22"/>
        </w:rPr>
        <w:t>Sect</w:t>
      </w:r>
      <w:r w:rsidR="00141D81">
        <w:rPr>
          <w:rFonts w:eastAsiaTheme="minorHAnsi" w:cs="Calibri"/>
          <w:color w:val="4E5758"/>
          <w:sz w:val="20"/>
          <w:szCs w:val="22"/>
        </w:rPr>
        <w:t>ion 8521(c) permits LEAs</w:t>
      </w:r>
      <w:r w:rsidR="00AA5538">
        <w:rPr>
          <w:rFonts w:eastAsiaTheme="minorHAnsi" w:cs="Calibri"/>
          <w:color w:val="4E5758"/>
          <w:sz w:val="20"/>
          <w:szCs w:val="22"/>
        </w:rPr>
        <w:t xml:space="preserve"> to work through the SEA to apply</w:t>
      </w:r>
      <w:r w:rsidR="00141D81">
        <w:rPr>
          <w:rFonts w:eastAsiaTheme="minorHAnsi" w:cs="Calibri"/>
          <w:color w:val="4E5758"/>
          <w:sz w:val="20"/>
          <w:szCs w:val="22"/>
        </w:rPr>
        <w:t xml:space="preserve"> to the </w:t>
      </w:r>
      <w:r w:rsidR="00DC5606">
        <w:rPr>
          <w:rFonts w:eastAsiaTheme="minorHAnsi" w:cs="Calibri"/>
          <w:color w:val="4E5758"/>
          <w:sz w:val="20"/>
          <w:szCs w:val="22"/>
        </w:rPr>
        <w:t>USDE</w:t>
      </w:r>
      <w:r w:rsidR="00CC1C83">
        <w:rPr>
          <w:rFonts w:eastAsiaTheme="minorHAnsi" w:cs="Calibri"/>
          <w:color w:val="4E5758"/>
          <w:sz w:val="20"/>
          <w:szCs w:val="22"/>
        </w:rPr>
        <w:t xml:space="preserve"> </w:t>
      </w:r>
      <w:r w:rsidR="00141D81">
        <w:rPr>
          <w:rFonts w:eastAsiaTheme="minorHAnsi" w:cs="Calibri"/>
          <w:color w:val="4E5758"/>
          <w:sz w:val="20"/>
          <w:szCs w:val="22"/>
        </w:rPr>
        <w:t>for a waiver from the MOE requirements if the SEA determines that the LEA is not in compliance.</w:t>
      </w:r>
    </w:p>
    <w:p w14:paraId="243D9086" w14:textId="77777777" w:rsidR="00141D81" w:rsidRDefault="00141D81" w:rsidP="002A5525">
      <w:pPr>
        <w:rPr>
          <w:rFonts w:eastAsiaTheme="minorHAnsi" w:cs="Calibri"/>
          <w:color w:val="4E5758"/>
          <w:sz w:val="20"/>
          <w:szCs w:val="22"/>
        </w:rPr>
      </w:pPr>
    </w:p>
    <w:p w14:paraId="68DE1E99" w14:textId="77777777" w:rsidR="00141D81" w:rsidRDefault="00141D81" w:rsidP="002A5525">
      <w:pPr>
        <w:rPr>
          <w:rFonts w:eastAsiaTheme="minorHAnsi" w:cs="Calibri"/>
          <w:color w:val="4E5758"/>
          <w:sz w:val="20"/>
          <w:szCs w:val="22"/>
        </w:rPr>
      </w:pPr>
      <w:r>
        <w:rPr>
          <w:rFonts w:eastAsiaTheme="minorHAnsi" w:cs="Calibri"/>
          <w:color w:val="4E5758"/>
          <w:sz w:val="20"/>
          <w:szCs w:val="22"/>
        </w:rPr>
        <w:t>A waiver may be granted if the need is based upon:</w:t>
      </w:r>
    </w:p>
    <w:p w14:paraId="2C48BD15" w14:textId="77777777" w:rsidR="00484FF1" w:rsidRDefault="00141D81" w:rsidP="00141D81">
      <w:pPr>
        <w:pStyle w:val="ListParagraph"/>
        <w:numPr>
          <w:ilvl w:val="0"/>
          <w:numId w:val="20"/>
        </w:numPr>
        <w:rPr>
          <w:rFonts w:eastAsiaTheme="minorHAnsi" w:cs="Calibri"/>
          <w:color w:val="4E5758"/>
          <w:sz w:val="20"/>
          <w:szCs w:val="22"/>
        </w:rPr>
      </w:pPr>
      <w:r w:rsidRPr="00141D81">
        <w:rPr>
          <w:rFonts w:eastAsiaTheme="minorHAnsi" w:cs="Calibri"/>
          <w:color w:val="4E5758"/>
          <w:sz w:val="20"/>
          <w:szCs w:val="22"/>
        </w:rPr>
        <w:t xml:space="preserve">the occurrence of an exceptional or uncontrollable circumstance, </w:t>
      </w:r>
      <w:r>
        <w:rPr>
          <w:rFonts w:eastAsiaTheme="minorHAnsi" w:cs="Calibri"/>
          <w:color w:val="4E5758"/>
          <w:sz w:val="20"/>
          <w:szCs w:val="22"/>
        </w:rPr>
        <w:t>or</w:t>
      </w:r>
    </w:p>
    <w:p w14:paraId="7D8A9EE0" w14:textId="77777777" w:rsidR="00141D81" w:rsidRDefault="00141D81" w:rsidP="00141D81">
      <w:pPr>
        <w:pStyle w:val="ListParagraph"/>
        <w:numPr>
          <w:ilvl w:val="0"/>
          <w:numId w:val="20"/>
        </w:numPr>
        <w:rPr>
          <w:rFonts w:eastAsiaTheme="minorHAnsi" w:cs="Calibri"/>
          <w:color w:val="4E5758"/>
          <w:sz w:val="20"/>
          <w:szCs w:val="22"/>
        </w:rPr>
      </w:pPr>
      <w:r>
        <w:rPr>
          <w:rFonts w:eastAsiaTheme="minorHAnsi" w:cs="Calibri"/>
          <w:color w:val="4E5758"/>
          <w:sz w:val="20"/>
          <w:szCs w:val="22"/>
        </w:rPr>
        <w:t>a precipitous decline in the financial resources of the LEA.</w:t>
      </w:r>
    </w:p>
    <w:p w14:paraId="49FDE5D2" w14:textId="77777777" w:rsidR="00347984" w:rsidRDefault="00141D81" w:rsidP="002A5525">
      <w:pPr>
        <w:rPr>
          <w:rFonts w:eastAsiaTheme="minorHAnsi" w:cs="Calibri"/>
          <w:color w:val="4E5758"/>
          <w:sz w:val="20"/>
          <w:szCs w:val="22"/>
        </w:rPr>
      </w:pPr>
      <w:r>
        <w:rPr>
          <w:rFonts w:eastAsiaTheme="minorHAnsi" w:cs="Calibri"/>
          <w:color w:val="4E5758"/>
          <w:sz w:val="20"/>
          <w:szCs w:val="22"/>
        </w:rPr>
        <w:t xml:space="preserve">An exceptional or uncontrollable circumstance may include </w:t>
      </w:r>
      <w:r w:rsidRPr="00141D81">
        <w:rPr>
          <w:rFonts w:eastAsiaTheme="minorHAnsi" w:cs="Calibri"/>
          <w:color w:val="4E5758"/>
          <w:sz w:val="20"/>
          <w:szCs w:val="22"/>
        </w:rPr>
        <w:t xml:space="preserve">such </w:t>
      </w:r>
      <w:r>
        <w:rPr>
          <w:rFonts w:eastAsiaTheme="minorHAnsi" w:cs="Calibri"/>
          <w:color w:val="4E5758"/>
          <w:sz w:val="20"/>
          <w:szCs w:val="22"/>
        </w:rPr>
        <w:t xml:space="preserve">events </w:t>
      </w:r>
      <w:r w:rsidRPr="00141D81">
        <w:rPr>
          <w:rFonts w:eastAsiaTheme="minorHAnsi" w:cs="Calibri"/>
          <w:color w:val="4E5758"/>
          <w:sz w:val="20"/>
          <w:szCs w:val="22"/>
        </w:rPr>
        <w:t>as a natural dis</w:t>
      </w:r>
      <w:r>
        <w:rPr>
          <w:rFonts w:eastAsiaTheme="minorHAnsi" w:cs="Calibri"/>
          <w:color w:val="4E5758"/>
          <w:sz w:val="20"/>
          <w:szCs w:val="22"/>
        </w:rPr>
        <w:t>aster or change in the organizational structure of the LEA.  Changes to the organizational structure of the LEA may include when an LEA merges with another LEA, divides into two or more LEAs, or eliminates grade levels that were previously served (i.e. changing from K-12 to K-8).   Further, a change in the organizational structure may also be established if the LEA changes its management or operations structure to create economies of scale to become more efficient.</w:t>
      </w:r>
    </w:p>
    <w:p w14:paraId="2C66793D" w14:textId="77777777" w:rsidR="00347984" w:rsidRDefault="00347984" w:rsidP="002A5525">
      <w:pPr>
        <w:rPr>
          <w:rFonts w:eastAsiaTheme="minorHAnsi" w:cs="Calibri"/>
          <w:color w:val="4E5758"/>
          <w:sz w:val="20"/>
          <w:szCs w:val="22"/>
        </w:rPr>
      </w:pPr>
    </w:p>
    <w:p w14:paraId="7245EBBA" w14:textId="77777777" w:rsidR="00347984" w:rsidRDefault="00CC1C83" w:rsidP="002A5525">
      <w:pPr>
        <w:rPr>
          <w:rFonts w:eastAsiaTheme="minorHAnsi" w:cs="Calibri"/>
          <w:color w:val="4E5758"/>
          <w:sz w:val="20"/>
          <w:szCs w:val="22"/>
        </w:rPr>
      </w:pPr>
      <w:r>
        <w:rPr>
          <w:rFonts w:eastAsiaTheme="minorHAnsi" w:cs="Calibri"/>
          <w:color w:val="4E5758"/>
          <w:sz w:val="20"/>
          <w:szCs w:val="22"/>
        </w:rPr>
        <w:t xml:space="preserve">If an LEA has failed to meet the MOE requirements, CDE will support the LEA in the waiver application process before </w:t>
      </w:r>
      <w:r w:rsidR="006D19D5">
        <w:rPr>
          <w:rFonts w:eastAsiaTheme="minorHAnsi" w:cs="Calibri"/>
          <w:color w:val="4E5758"/>
          <w:sz w:val="20"/>
          <w:szCs w:val="22"/>
        </w:rPr>
        <w:t xml:space="preserve">taking any action to </w:t>
      </w:r>
      <w:r>
        <w:rPr>
          <w:rFonts w:eastAsiaTheme="minorHAnsi" w:cs="Calibri"/>
          <w:color w:val="4E5758"/>
          <w:sz w:val="20"/>
          <w:szCs w:val="22"/>
        </w:rPr>
        <w:t>reduc</w:t>
      </w:r>
      <w:r w:rsidR="006D19D5">
        <w:rPr>
          <w:rFonts w:eastAsiaTheme="minorHAnsi" w:cs="Calibri"/>
          <w:color w:val="4E5758"/>
          <w:sz w:val="20"/>
          <w:szCs w:val="22"/>
        </w:rPr>
        <w:t>e</w:t>
      </w:r>
      <w:r>
        <w:rPr>
          <w:rFonts w:eastAsiaTheme="minorHAnsi" w:cs="Calibri"/>
          <w:color w:val="4E5758"/>
          <w:sz w:val="20"/>
          <w:szCs w:val="22"/>
        </w:rPr>
        <w:t xml:space="preserve"> the LEA’s </w:t>
      </w:r>
      <w:r w:rsidR="00CD1EA3">
        <w:rPr>
          <w:rFonts w:eastAsiaTheme="minorHAnsi" w:cs="Calibri"/>
          <w:color w:val="4E5758"/>
          <w:sz w:val="20"/>
          <w:szCs w:val="22"/>
        </w:rPr>
        <w:t>allocation</w:t>
      </w:r>
      <w:r w:rsidR="007F22B0">
        <w:rPr>
          <w:rFonts w:eastAsiaTheme="minorHAnsi" w:cs="Calibri"/>
          <w:color w:val="4E5758"/>
          <w:sz w:val="20"/>
          <w:szCs w:val="22"/>
        </w:rPr>
        <w:t xml:space="preserve"> under the covered programs</w:t>
      </w:r>
      <w:r>
        <w:rPr>
          <w:rFonts w:eastAsiaTheme="minorHAnsi" w:cs="Calibri"/>
          <w:color w:val="4E5758"/>
          <w:sz w:val="20"/>
          <w:szCs w:val="22"/>
        </w:rPr>
        <w:t>.  If the USDE grants the LEA’s MOE waiver request, the LEA has effectively maintained effort for that fiscal year.  Accordingly, when determining whether the LEA has failed to maintain effort for one or more of the five immediately preceding fiscal years, CDE would count the year in which a waiver was received as a year of maintaining effort and the LEA would not be penalized for receiving a waiver.</w:t>
      </w:r>
    </w:p>
    <w:p w14:paraId="7F714537" w14:textId="77777777" w:rsidR="00CC1C83" w:rsidRDefault="00CC1C83" w:rsidP="002A5525">
      <w:pPr>
        <w:rPr>
          <w:rFonts w:eastAsiaTheme="minorHAnsi" w:cs="Calibri"/>
          <w:color w:val="4E5758"/>
          <w:sz w:val="20"/>
          <w:szCs w:val="22"/>
        </w:rPr>
      </w:pPr>
    </w:p>
    <w:p w14:paraId="3779388E" w14:textId="77777777" w:rsidR="00347984" w:rsidRDefault="007F22B0" w:rsidP="002A5525">
      <w:pPr>
        <w:rPr>
          <w:rFonts w:eastAsiaTheme="minorHAnsi" w:cs="Calibri"/>
          <w:color w:val="4E5758"/>
          <w:sz w:val="20"/>
          <w:szCs w:val="22"/>
        </w:rPr>
      </w:pPr>
      <w:r w:rsidRPr="007F22B0">
        <w:rPr>
          <w:rFonts w:ascii="Trebuchet MS" w:hAnsi="Trebuchet MS"/>
          <w:b/>
          <w:sz w:val="24"/>
          <w:u w:val="single"/>
        </w:rPr>
        <w:t>Reduction in Grant Award</w:t>
      </w:r>
    </w:p>
    <w:p w14:paraId="407B76E1" w14:textId="64DD50B8" w:rsidR="008C0AEA" w:rsidRPr="008C0AEA" w:rsidRDefault="007F22B0" w:rsidP="008C0AEA">
      <w:pPr>
        <w:rPr>
          <w:rFonts w:eastAsiaTheme="minorHAnsi" w:cs="Calibri"/>
          <w:color w:val="4E5758"/>
          <w:sz w:val="20"/>
          <w:szCs w:val="22"/>
        </w:rPr>
      </w:pPr>
      <w:r>
        <w:rPr>
          <w:rFonts w:eastAsiaTheme="minorHAnsi" w:cs="Calibri"/>
          <w:color w:val="4E5758"/>
          <w:sz w:val="20"/>
          <w:szCs w:val="22"/>
        </w:rPr>
        <w:t xml:space="preserve">If an LEA fails to meet the MOE requirements and does not receive a waiver from the requirements by the USDE, CDE must reduce the amount of the LEA’s </w:t>
      </w:r>
      <w:r w:rsidR="00CD1EA3">
        <w:rPr>
          <w:rFonts w:eastAsiaTheme="minorHAnsi" w:cs="Calibri"/>
          <w:color w:val="4E5758"/>
          <w:sz w:val="20"/>
          <w:szCs w:val="22"/>
        </w:rPr>
        <w:t>allocation</w:t>
      </w:r>
      <w:r>
        <w:rPr>
          <w:rFonts w:eastAsiaTheme="minorHAnsi" w:cs="Calibri"/>
          <w:color w:val="4E5758"/>
          <w:sz w:val="20"/>
          <w:szCs w:val="22"/>
        </w:rPr>
        <w:t xml:space="preserve"> under the covered programs in the exact proportion to the LEA’s failure to meet the MOE requirement. </w:t>
      </w:r>
      <w:r w:rsidR="008C0AEA">
        <w:rPr>
          <w:rFonts w:eastAsiaTheme="minorHAnsi" w:cs="Calibri"/>
          <w:color w:val="4E5758"/>
          <w:sz w:val="20"/>
          <w:szCs w:val="22"/>
        </w:rPr>
        <w:t xml:space="preserve"> </w:t>
      </w:r>
      <w:r w:rsidR="008C0AEA" w:rsidRPr="008C0AEA">
        <w:rPr>
          <w:rFonts w:eastAsiaTheme="minorHAnsi" w:cs="Calibri"/>
          <w:color w:val="4E5758"/>
          <w:sz w:val="20"/>
          <w:szCs w:val="22"/>
        </w:rPr>
        <w:t>Before the</w:t>
      </w:r>
      <w:r w:rsidR="008C0AEA">
        <w:rPr>
          <w:rFonts w:eastAsiaTheme="minorHAnsi" w:cs="Calibri"/>
          <w:color w:val="4E5758"/>
          <w:sz w:val="20"/>
          <w:szCs w:val="22"/>
        </w:rPr>
        <w:t xml:space="preserve"> implementation of</w:t>
      </w:r>
      <w:r w:rsidR="008C0AEA" w:rsidRPr="008C0AEA">
        <w:rPr>
          <w:rFonts w:eastAsiaTheme="minorHAnsi" w:cs="Calibri"/>
          <w:color w:val="4E5758"/>
          <w:sz w:val="20"/>
          <w:szCs w:val="22"/>
        </w:rPr>
        <w:t xml:space="preserve"> ESSA, CDE was required to </w:t>
      </w:r>
      <w:r w:rsidR="008C0AEA">
        <w:rPr>
          <w:rFonts w:eastAsiaTheme="minorHAnsi" w:cs="Calibri"/>
          <w:color w:val="4E5758"/>
          <w:sz w:val="20"/>
          <w:szCs w:val="22"/>
        </w:rPr>
        <w:t>reduce the LEA’s allocation for failure to maintain effort as compared to the</w:t>
      </w:r>
      <w:r w:rsidR="00AA5538">
        <w:rPr>
          <w:rFonts w:eastAsiaTheme="minorHAnsi" w:cs="Calibri"/>
          <w:color w:val="4E5758"/>
          <w:sz w:val="20"/>
          <w:szCs w:val="22"/>
        </w:rPr>
        <w:t xml:space="preserve"> second</w:t>
      </w:r>
      <w:r w:rsidR="008C0AEA">
        <w:rPr>
          <w:rFonts w:eastAsiaTheme="minorHAnsi" w:cs="Calibri"/>
          <w:color w:val="4E5758"/>
          <w:sz w:val="20"/>
          <w:szCs w:val="22"/>
        </w:rPr>
        <w:t xml:space="preserve"> preceding fiscal year only.  However, the ESSA has an added look-back provision that requires the reduction to be based on whether the LEA h</w:t>
      </w:r>
      <w:r w:rsidR="002D1E61">
        <w:rPr>
          <w:rFonts w:eastAsiaTheme="minorHAnsi" w:cs="Calibri"/>
          <w:color w:val="4E5758"/>
          <w:sz w:val="20"/>
          <w:szCs w:val="22"/>
        </w:rPr>
        <w:t>as failed to maintain effort in a given fiscal year</w:t>
      </w:r>
      <w:r w:rsidR="008C0AEA" w:rsidRPr="002D1E61">
        <w:rPr>
          <w:rFonts w:eastAsiaTheme="minorHAnsi" w:cs="Calibri"/>
          <w:color w:val="4E5758"/>
          <w:sz w:val="20"/>
          <w:szCs w:val="22"/>
        </w:rPr>
        <w:t xml:space="preserve"> </w:t>
      </w:r>
      <w:r w:rsidR="008C0AEA" w:rsidRPr="002D1E61">
        <w:rPr>
          <w:rFonts w:eastAsiaTheme="minorHAnsi" w:cs="Calibri"/>
          <w:color w:val="4E5758"/>
          <w:sz w:val="20"/>
          <w:szCs w:val="22"/>
          <w:u w:val="single"/>
        </w:rPr>
        <w:t>and</w:t>
      </w:r>
      <w:r w:rsidR="00E7539C" w:rsidRPr="002D1E61">
        <w:rPr>
          <w:rFonts w:eastAsiaTheme="minorHAnsi" w:cs="Calibri"/>
          <w:color w:val="4E5758"/>
          <w:sz w:val="20"/>
          <w:szCs w:val="22"/>
        </w:rPr>
        <w:t xml:space="preserve"> in </w:t>
      </w:r>
      <w:r w:rsidR="008C0AEA" w:rsidRPr="002D1E61">
        <w:rPr>
          <w:rFonts w:eastAsiaTheme="minorHAnsi" w:cs="Calibri"/>
          <w:color w:val="4E5758"/>
          <w:sz w:val="20"/>
          <w:szCs w:val="22"/>
        </w:rPr>
        <w:t>one or more of the five immediately preceding fiscal years.</w:t>
      </w:r>
      <w:r w:rsidR="002D1E61">
        <w:rPr>
          <w:rFonts w:eastAsiaTheme="minorHAnsi" w:cs="Calibri"/>
          <w:color w:val="4E5758"/>
          <w:sz w:val="20"/>
          <w:szCs w:val="22"/>
        </w:rPr>
        <w:t xml:space="preserve">  </w:t>
      </w:r>
      <w:r w:rsidR="00CD1EA3">
        <w:rPr>
          <w:rFonts w:eastAsiaTheme="minorHAnsi" w:cs="Calibri"/>
          <w:color w:val="4E5758"/>
          <w:sz w:val="20"/>
          <w:szCs w:val="22"/>
        </w:rPr>
        <w:t xml:space="preserve">In other words, a single </w:t>
      </w:r>
      <w:r w:rsidR="00620DCD">
        <w:rPr>
          <w:rFonts w:eastAsiaTheme="minorHAnsi" w:cs="Calibri"/>
          <w:color w:val="4E5758"/>
          <w:sz w:val="20"/>
          <w:szCs w:val="22"/>
        </w:rPr>
        <w:t>failure</w:t>
      </w:r>
      <w:r w:rsidR="00CD1EA3">
        <w:rPr>
          <w:rFonts w:eastAsiaTheme="minorHAnsi" w:cs="Calibri"/>
          <w:color w:val="4E5758"/>
          <w:sz w:val="20"/>
          <w:szCs w:val="22"/>
        </w:rPr>
        <w:t xml:space="preserve"> to maintain effort within a five-year period may not result in the red</w:t>
      </w:r>
      <w:r w:rsidR="005B2AA7">
        <w:rPr>
          <w:rFonts w:eastAsiaTheme="minorHAnsi" w:cs="Calibri"/>
          <w:color w:val="4E5758"/>
          <w:sz w:val="20"/>
          <w:szCs w:val="22"/>
        </w:rPr>
        <w:t>uction of the LEA’s allocation.</w:t>
      </w:r>
    </w:p>
    <w:p w14:paraId="5B8C60AA" w14:textId="77777777" w:rsidR="00ED7391" w:rsidRDefault="00ED7391" w:rsidP="00C97C59">
      <w:pPr>
        <w:rPr>
          <w:rFonts w:ascii="Trebuchet MS" w:hAnsi="Trebuchet MS"/>
          <w:b/>
          <w:sz w:val="24"/>
          <w:u w:val="single"/>
        </w:rPr>
      </w:pPr>
    </w:p>
    <w:p w14:paraId="33654C2D" w14:textId="77777777" w:rsidR="00C97C59" w:rsidRDefault="00C97C59" w:rsidP="00C97C59">
      <w:pPr>
        <w:rPr>
          <w:rFonts w:eastAsiaTheme="minorHAnsi" w:cs="Calibri"/>
          <w:color w:val="4E5758"/>
          <w:sz w:val="20"/>
          <w:szCs w:val="22"/>
        </w:rPr>
      </w:pPr>
      <w:r>
        <w:rPr>
          <w:rFonts w:ascii="Trebuchet MS" w:hAnsi="Trebuchet MS"/>
          <w:b/>
          <w:sz w:val="24"/>
          <w:u w:val="single"/>
        </w:rPr>
        <w:t>Examples</w:t>
      </w:r>
    </w:p>
    <w:p w14:paraId="50281BD6" w14:textId="77777777" w:rsidR="00C97C59" w:rsidRDefault="00C97C59" w:rsidP="00C97C59">
      <w:pPr>
        <w:pStyle w:val="Body"/>
        <w:spacing w:after="0"/>
        <w:rPr>
          <w:sz w:val="20"/>
        </w:rPr>
      </w:pPr>
      <w:r>
        <w:rPr>
          <w:sz w:val="20"/>
        </w:rPr>
        <w:t>The following examples illustrate the calculations used to determine whether the LEA has satisfied the MOE requirements and, if the LEA did not, how much should be deducted from the LEA’s allocation.</w:t>
      </w:r>
    </w:p>
    <w:p w14:paraId="2DC0B124" w14:textId="77777777" w:rsidR="002D1E61" w:rsidRDefault="002D1E61" w:rsidP="00620DCD">
      <w:pPr>
        <w:pStyle w:val="Body"/>
        <w:spacing w:after="0"/>
        <w:ind w:firstLine="720"/>
        <w:rPr>
          <w:sz w:val="20"/>
          <w:u w:val="single"/>
        </w:rPr>
      </w:pPr>
    </w:p>
    <w:p w14:paraId="54588818" w14:textId="77777777" w:rsidR="00C97C59" w:rsidRDefault="00C97C59" w:rsidP="002D1E61">
      <w:pPr>
        <w:pStyle w:val="Body"/>
        <w:spacing w:after="0"/>
        <w:ind w:firstLine="540"/>
        <w:rPr>
          <w:sz w:val="20"/>
        </w:rPr>
      </w:pPr>
      <w:r>
        <w:rPr>
          <w:sz w:val="20"/>
          <w:u w:val="single"/>
        </w:rPr>
        <w:t>Example 1</w:t>
      </w:r>
    </w:p>
    <w:p w14:paraId="6369EEA3" w14:textId="77777777" w:rsidR="00620DCD" w:rsidRDefault="00C97C59" w:rsidP="002D1E61">
      <w:pPr>
        <w:pStyle w:val="Body"/>
        <w:spacing w:after="0"/>
        <w:ind w:left="540"/>
        <w:rPr>
          <w:sz w:val="20"/>
        </w:rPr>
      </w:pPr>
      <w:r>
        <w:rPr>
          <w:sz w:val="20"/>
        </w:rPr>
        <w:t xml:space="preserve">In this example, a determination is being made for the 2017-2018 school year’s allocation.  </w:t>
      </w:r>
      <w:r w:rsidR="00620DCD">
        <w:rPr>
          <w:sz w:val="20"/>
        </w:rPr>
        <w:t>Here, the LEA failed to maintain effort by at least 90% for either method used to determine compliance.  If the LEA also failed to maintain effort in one or more of the five immediately preceding fiscal years, absent a waiver, the SEA must reduce the LEA’s allocation by 5.3%.</w:t>
      </w:r>
    </w:p>
    <w:p w14:paraId="71F4CEF6" w14:textId="77777777" w:rsidR="00C97C59" w:rsidRDefault="00C97C59" w:rsidP="002D1E61">
      <w:pPr>
        <w:pStyle w:val="Body"/>
        <w:spacing w:after="0"/>
        <w:ind w:firstLine="540"/>
        <w:rPr>
          <w:sz w:val="20"/>
        </w:rPr>
      </w:pPr>
      <w:r>
        <w:rPr>
          <w:sz w:val="20"/>
        </w:rPr>
        <w:t>Current fiscal year: 2017 (Begins on July 1, 2016)</w:t>
      </w:r>
    </w:p>
    <w:p w14:paraId="57B494D9" w14:textId="77777777" w:rsidR="00C97C59" w:rsidRDefault="00C97C59" w:rsidP="002D1E61">
      <w:pPr>
        <w:pStyle w:val="Body"/>
        <w:spacing w:after="0"/>
        <w:ind w:firstLine="540"/>
        <w:rPr>
          <w:sz w:val="20"/>
        </w:rPr>
      </w:pPr>
      <w:r>
        <w:rPr>
          <w:sz w:val="20"/>
        </w:rPr>
        <w:t>Preceding fiscal year: 2016 (Begins on July 1, 2015)</w:t>
      </w:r>
    </w:p>
    <w:p w14:paraId="45BF2ECF" w14:textId="196E8E25" w:rsidR="00C97C59" w:rsidRPr="00356164" w:rsidRDefault="00C97C59" w:rsidP="002D1E61">
      <w:pPr>
        <w:pStyle w:val="Body"/>
        <w:spacing w:after="0"/>
        <w:ind w:firstLine="540"/>
        <w:rPr>
          <w:sz w:val="20"/>
        </w:rPr>
      </w:pPr>
      <w:r>
        <w:rPr>
          <w:sz w:val="20"/>
        </w:rPr>
        <w:t>Second preceding fiscal year: 2015 (Begins on July 1, 2014)</w:t>
      </w:r>
    </w:p>
    <w:tbl>
      <w:tblPr>
        <w:tblStyle w:val="GridTable1Light-Accent12"/>
        <w:tblW w:w="9715" w:type="dxa"/>
        <w:jc w:val="center"/>
        <w:tblLayout w:type="fixed"/>
        <w:tblLook w:val="04A0" w:firstRow="1" w:lastRow="0" w:firstColumn="1" w:lastColumn="0" w:noHBand="0" w:noVBand="1"/>
        <w:tblCaption w:val="Example 1"/>
        <w:tblDescription w:val="This table provides an example of an LEA that fails to meet MOE requirements under either method and the SEA must reduce the allocation."/>
      </w:tblPr>
      <w:tblGrid>
        <w:gridCol w:w="5215"/>
        <w:gridCol w:w="2250"/>
        <w:gridCol w:w="2250"/>
      </w:tblGrid>
      <w:tr w:rsidR="00BC4E68" w:rsidRPr="00620DCD" w14:paraId="669090F5" w14:textId="77777777" w:rsidTr="005B2AA7">
        <w:trPr>
          <w:cnfStyle w:val="100000000000" w:firstRow="1" w:lastRow="0" w:firstColumn="0" w:lastColumn="0" w:oddVBand="0" w:evenVBand="0" w:oddHBand="0" w:evenHBand="0" w:firstRowFirstColumn="0" w:firstRowLastColumn="0" w:lastRowFirstColumn="0" w:lastRowLastColumn="0"/>
          <w:trHeight w:val="359"/>
          <w:tblHeader/>
          <w:jc w:val="center"/>
        </w:trPr>
        <w:tc>
          <w:tcPr>
            <w:cnfStyle w:val="001000000000" w:firstRow="0" w:lastRow="0" w:firstColumn="1" w:lastColumn="0" w:oddVBand="0" w:evenVBand="0" w:oddHBand="0" w:evenHBand="0" w:firstRowFirstColumn="0" w:firstRowLastColumn="0" w:lastRowFirstColumn="0" w:lastRowLastColumn="0"/>
            <w:tcW w:w="5215" w:type="dxa"/>
          </w:tcPr>
          <w:p w14:paraId="6003695B" w14:textId="77777777" w:rsidR="00BC4E68" w:rsidRPr="00620DCD" w:rsidRDefault="00BC4E68" w:rsidP="00305780">
            <w:pPr>
              <w:pStyle w:val="Body"/>
              <w:spacing w:after="0"/>
              <w:ind w:firstLine="720"/>
              <w:rPr>
                <w:sz w:val="20"/>
              </w:rPr>
            </w:pPr>
          </w:p>
        </w:tc>
        <w:tc>
          <w:tcPr>
            <w:tcW w:w="2250" w:type="dxa"/>
          </w:tcPr>
          <w:p w14:paraId="7DEDA5B7" w14:textId="77777777" w:rsidR="00BC4E68" w:rsidRPr="00620DCD" w:rsidRDefault="00BC4E68" w:rsidP="00305780">
            <w:pPr>
              <w:pStyle w:val="Body"/>
              <w:spacing w:after="0"/>
              <w:jc w:val="center"/>
              <w:cnfStyle w:val="100000000000" w:firstRow="1" w:lastRow="0" w:firstColumn="0" w:lastColumn="0" w:oddVBand="0" w:evenVBand="0" w:oddHBand="0" w:evenHBand="0" w:firstRowFirstColumn="0" w:firstRowLastColumn="0" w:lastRowFirstColumn="0" w:lastRowLastColumn="0"/>
              <w:rPr>
                <w:sz w:val="20"/>
              </w:rPr>
            </w:pPr>
            <w:r w:rsidRPr="00620DCD">
              <w:rPr>
                <w:sz w:val="20"/>
              </w:rPr>
              <w:t xml:space="preserve">Method: Fiscal Effort </w:t>
            </w:r>
            <w:r>
              <w:rPr>
                <w:sz w:val="20"/>
              </w:rPr>
              <w:t>p</w:t>
            </w:r>
            <w:r w:rsidRPr="00620DCD">
              <w:rPr>
                <w:sz w:val="20"/>
              </w:rPr>
              <w:t>er Student</w:t>
            </w:r>
          </w:p>
        </w:tc>
        <w:tc>
          <w:tcPr>
            <w:tcW w:w="2250" w:type="dxa"/>
          </w:tcPr>
          <w:p w14:paraId="20FB5FA2" w14:textId="77777777" w:rsidR="00BC4E68" w:rsidRPr="00620DCD" w:rsidRDefault="00BC4E68" w:rsidP="00305780">
            <w:pPr>
              <w:pStyle w:val="Body"/>
              <w:spacing w:after="0"/>
              <w:jc w:val="center"/>
              <w:cnfStyle w:val="100000000000" w:firstRow="1" w:lastRow="0" w:firstColumn="0" w:lastColumn="0" w:oddVBand="0" w:evenVBand="0" w:oddHBand="0" w:evenHBand="0" w:firstRowFirstColumn="0" w:firstRowLastColumn="0" w:lastRowFirstColumn="0" w:lastRowLastColumn="0"/>
              <w:rPr>
                <w:sz w:val="20"/>
              </w:rPr>
            </w:pPr>
            <w:r w:rsidRPr="00620DCD">
              <w:rPr>
                <w:sz w:val="20"/>
              </w:rPr>
              <w:t>Method: Aggregate Expenditures</w:t>
            </w:r>
          </w:p>
        </w:tc>
      </w:tr>
      <w:tr w:rsidR="00BC4E68" w:rsidRPr="00620DCD" w14:paraId="7BD3D6F3" w14:textId="77777777" w:rsidTr="00305780">
        <w:trPr>
          <w:trHeight w:val="332"/>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5315EF4E" w14:textId="77777777" w:rsidR="00BC4E68" w:rsidRPr="00620DCD" w:rsidRDefault="00BC4E68" w:rsidP="00305780">
            <w:pPr>
              <w:pStyle w:val="Body"/>
              <w:spacing w:after="0"/>
              <w:rPr>
                <w:sz w:val="20"/>
              </w:rPr>
            </w:pPr>
            <w:r w:rsidRPr="00620DCD">
              <w:rPr>
                <w:sz w:val="20"/>
              </w:rPr>
              <w:t xml:space="preserve">Amount the LEA spent in the 2nd preceding fiscal year </w:t>
            </w:r>
          </w:p>
        </w:tc>
        <w:tc>
          <w:tcPr>
            <w:tcW w:w="2250" w:type="dxa"/>
            <w:vAlign w:val="center"/>
          </w:tcPr>
          <w:p w14:paraId="0B8A572F"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$6,100</w:t>
            </w:r>
          </w:p>
        </w:tc>
        <w:tc>
          <w:tcPr>
            <w:tcW w:w="2250" w:type="dxa"/>
            <w:vAlign w:val="center"/>
          </w:tcPr>
          <w:p w14:paraId="553F635D"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$1,000,000</w:t>
            </w:r>
          </w:p>
        </w:tc>
      </w:tr>
      <w:tr w:rsidR="00BC4E68" w:rsidRPr="00620DCD" w14:paraId="55A4AB3F" w14:textId="77777777" w:rsidTr="00305780">
        <w:trPr>
          <w:trHeight w:val="530"/>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08EA2543" w14:textId="77777777" w:rsidR="00BC4E68" w:rsidRPr="00620DCD" w:rsidRDefault="00BC4E68" w:rsidP="00305780">
            <w:pPr>
              <w:pStyle w:val="Body"/>
              <w:spacing w:after="0"/>
              <w:rPr>
                <w:sz w:val="20"/>
              </w:rPr>
            </w:pPr>
            <w:r w:rsidRPr="00620DCD">
              <w:rPr>
                <w:sz w:val="20"/>
              </w:rPr>
              <w:t>Amount the LEA had to spend in the preceding fiscal year to maintain effort</w:t>
            </w:r>
          </w:p>
        </w:tc>
        <w:tc>
          <w:tcPr>
            <w:tcW w:w="2250" w:type="dxa"/>
            <w:vAlign w:val="center"/>
          </w:tcPr>
          <w:p w14:paraId="19A42DEB" w14:textId="77777777" w:rsidR="00BC4E68"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 xml:space="preserve">$5,490 </w:t>
            </w:r>
          </w:p>
          <w:p w14:paraId="4A825B26"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($6,100 x .9)</w:t>
            </w:r>
          </w:p>
        </w:tc>
        <w:tc>
          <w:tcPr>
            <w:tcW w:w="2250" w:type="dxa"/>
            <w:vAlign w:val="center"/>
          </w:tcPr>
          <w:p w14:paraId="05EFA54A"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$900,000 ($1,000,000 x 0.90)</w:t>
            </w:r>
          </w:p>
        </w:tc>
      </w:tr>
      <w:tr w:rsidR="00BC4E68" w:rsidRPr="00620DCD" w14:paraId="7B9E6878" w14:textId="77777777" w:rsidTr="00305780">
        <w:trPr>
          <w:trHeight w:val="359"/>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294A85E7" w14:textId="77777777" w:rsidR="00BC4E68" w:rsidRPr="00620DCD" w:rsidRDefault="00BC4E68" w:rsidP="00305780">
            <w:pPr>
              <w:pStyle w:val="Body"/>
              <w:spacing w:after="0"/>
              <w:rPr>
                <w:sz w:val="20"/>
              </w:rPr>
            </w:pPr>
            <w:r w:rsidRPr="00620DCD">
              <w:rPr>
                <w:sz w:val="20"/>
              </w:rPr>
              <w:t>Actual amount LEA spent in the preceding fiscal year</w:t>
            </w:r>
          </w:p>
        </w:tc>
        <w:tc>
          <w:tcPr>
            <w:tcW w:w="2250" w:type="dxa"/>
            <w:vAlign w:val="center"/>
          </w:tcPr>
          <w:p w14:paraId="2AFFA59E"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$5,200</w:t>
            </w:r>
          </w:p>
        </w:tc>
        <w:tc>
          <w:tcPr>
            <w:tcW w:w="2250" w:type="dxa"/>
            <w:vAlign w:val="center"/>
          </w:tcPr>
          <w:p w14:paraId="2C8168CE"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$850,000</w:t>
            </w:r>
          </w:p>
        </w:tc>
      </w:tr>
      <w:tr w:rsidR="00BC4E68" w:rsidRPr="00620DCD" w14:paraId="07F7A4A5" w14:textId="77777777" w:rsidTr="00305780">
        <w:trPr>
          <w:trHeight w:val="375"/>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071AC84C" w14:textId="77777777" w:rsidR="00BC4E68" w:rsidRPr="00620DCD" w:rsidRDefault="00BC4E68" w:rsidP="00305780">
            <w:pPr>
              <w:pStyle w:val="Body"/>
              <w:spacing w:after="0"/>
              <w:rPr>
                <w:sz w:val="20"/>
              </w:rPr>
            </w:pPr>
            <w:r w:rsidRPr="00620DCD">
              <w:rPr>
                <w:sz w:val="20"/>
              </w:rPr>
              <w:t>Amount by which the LEA failed to maintain effort</w:t>
            </w:r>
          </w:p>
        </w:tc>
        <w:tc>
          <w:tcPr>
            <w:tcW w:w="2250" w:type="dxa"/>
            <w:vAlign w:val="center"/>
          </w:tcPr>
          <w:p w14:paraId="2982B319"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-$290</w:t>
            </w:r>
          </w:p>
        </w:tc>
        <w:tc>
          <w:tcPr>
            <w:tcW w:w="2250" w:type="dxa"/>
            <w:vAlign w:val="center"/>
          </w:tcPr>
          <w:p w14:paraId="161D955C"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-$50,000</w:t>
            </w:r>
          </w:p>
        </w:tc>
      </w:tr>
      <w:tr w:rsidR="00BC4E68" w:rsidRPr="00620DCD" w14:paraId="564F78D4" w14:textId="77777777" w:rsidTr="00305780">
        <w:trPr>
          <w:trHeight w:val="359"/>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42740696" w14:textId="77777777" w:rsidR="00BC4E68" w:rsidRPr="00620DCD" w:rsidRDefault="00BC4E68" w:rsidP="00305780">
            <w:pPr>
              <w:pStyle w:val="Body"/>
              <w:spacing w:after="0"/>
              <w:rPr>
                <w:sz w:val="20"/>
              </w:rPr>
            </w:pPr>
            <w:r w:rsidRPr="00620DCD">
              <w:rPr>
                <w:sz w:val="20"/>
              </w:rPr>
              <w:t>Percentage by which the LEA’s allocation must be reduced</w:t>
            </w:r>
          </w:p>
        </w:tc>
        <w:tc>
          <w:tcPr>
            <w:tcW w:w="2250" w:type="dxa"/>
            <w:vAlign w:val="center"/>
          </w:tcPr>
          <w:p w14:paraId="782D8E9E"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-5.3%</w:t>
            </w:r>
          </w:p>
        </w:tc>
        <w:tc>
          <w:tcPr>
            <w:tcW w:w="2250" w:type="dxa"/>
            <w:vAlign w:val="center"/>
          </w:tcPr>
          <w:p w14:paraId="06C53358" w14:textId="77777777" w:rsidR="00BC4E68" w:rsidRPr="00620DCD" w:rsidRDefault="00BC4E68" w:rsidP="00305780">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620DCD">
              <w:rPr>
                <w:sz w:val="20"/>
              </w:rPr>
              <w:t>-5.6%</w:t>
            </w:r>
          </w:p>
        </w:tc>
      </w:tr>
    </w:tbl>
    <w:p w14:paraId="143D8BBA" w14:textId="77777777" w:rsidR="00BC4E68" w:rsidRDefault="00BC4E68" w:rsidP="00FB1205">
      <w:pPr>
        <w:pStyle w:val="Body"/>
        <w:spacing w:after="0"/>
        <w:ind w:left="540"/>
        <w:rPr>
          <w:sz w:val="20"/>
          <w:u w:val="single"/>
        </w:rPr>
      </w:pPr>
    </w:p>
    <w:p w14:paraId="1826254E" w14:textId="77777777" w:rsidR="00BC4E68" w:rsidRDefault="00BC4E68" w:rsidP="00FB1205">
      <w:pPr>
        <w:pStyle w:val="Body"/>
        <w:spacing w:after="0"/>
        <w:ind w:left="540"/>
        <w:rPr>
          <w:sz w:val="20"/>
          <w:u w:val="single"/>
        </w:rPr>
      </w:pPr>
    </w:p>
    <w:p w14:paraId="0F4764A5" w14:textId="77777777" w:rsidR="00C97C59" w:rsidRDefault="00C97C59" w:rsidP="00FB1205">
      <w:pPr>
        <w:pStyle w:val="Body"/>
        <w:spacing w:after="0"/>
        <w:ind w:left="540"/>
        <w:rPr>
          <w:u w:val="single"/>
        </w:rPr>
      </w:pPr>
      <w:r w:rsidRPr="00356164">
        <w:rPr>
          <w:sz w:val="20"/>
          <w:u w:val="single"/>
        </w:rPr>
        <w:t>Example 2</w:t>
      </w:r>
    </w:p>
    <w:p w14:paraId="40ECB7D4" w14:textId="77777777" w:rsidR="00620DCD" w:rsidRDefault="00C97C59" w:rsidP="00FB1205">
      <w:pPr>
        <w:pStyle w:val="Body"/>
        <w:spacing w:after="0"/>
        <w:ind w:left="540"/>
        <w:rPr>
          <w:sz w:val="20"/>
        </w:rPr>
      </w:pPr>
      <w:r>
        <w:rPr>
          <w:sz w:val="20"/>
        </w:rPr>
        <w:t xml:space="preserve">In this example, a determination is being made for the 2017-2018 school year’s allocation.  </w:t>
      </w:r>
      <w:r w:rsidR="00620DCD">
        <w:rPr>
          <w:sz w:val="20"/>
        </w:rPr>
        <w:t>Here, the LEA met the MOE requirements through the aggregate expenditures method but failed to maintain effort by at least 90% through the fiscal effort per student method.  The SEA determines whether the LEA has satisfied MOE requirements by using whichever of the methods is most favorable to the LEA, therefore the LEA is not required to seek a waiver and the LEA’s allocation will not be reduced.</w:t>
      </w:r>
    </w:p>
    <w:p w14:paraId="54550819" w14:textId="77777777" w:rsidR="00C97C59" w:rsidRDefault="00C97C59" w:rsidP="00FB1205">
      <w:pPr>
        <w:pStyle w:val="Body"/>
        <w:spacing w:after="0"/>
        <w:ind w:left="540"/>
        <w:rPr>
          <w:sz w:val="20"/>
        </w:rPr>
      </w:pPr>
      <w:r>
        <w:rPr>
          <w:sz w:val="20"/>
        </w:rPr>
        <w:t>Current fiscal year: 2017 (Begins on July 1, 2016)</w:t>
      </w:r>
    </w:p>
    <w:p w14:paraId="5D2476E1" w14:textId="77777777" w:rsidR="00C97C59" w:rsidRDefault="00C97C59" w:rsidP="00FB1205">
      <w:pPr>
        <w:pStyle w:val="Body"/>
        <w:spacing w:after="0"/>
        <w:ind w:left="540"/>
        <w:rPr>
          <w:sz w:val="20"/>
        </w:rPr>
      </w:pPr>
      <w:r>
        <w:rPr>
          <w:sz w:val="20"/>
        </w:rPr>
        <w:t>Preceding fiscal year: 2016 (Begins on July 1, 2015)</w:t>
      </w:r>
    </w:p>
    <w:p w14:paraId="5AF180BC" w14:textId="414FD91D" w:rsidR="00C97C59" w:rsidRPr="00356164" w:rsidRDefault="00C97C59" w:rsidP="00FB1205">
      <w:pPr>
        <w:pStyle w:val="Body"/>
        <w:spacing w:after="0"/>
        <w:ind w:left="540"/>
        <w:rPr>
          <w:sz w:val="20"/>
        </w:rPr>
      </w:pPr>
      <w:r>
        <w:rPr>
          <w:sz w:val="20"/>
        </w:rPr>
        <w:t>Second preceding fiscal year: 2015 (Begins on July 1, 2014)</w:t>
      </w:r>
    </w:p>
    <w:tbl>
      <w:tblPr>
        <w:tblStyle w:val="GridTable1Light-Accent12"/>
        <w:tblW w:w="9714" w:type="dxa"/>
        <w:jc w:val="center"/>
        <w:tblLayout w:type="fixed"/>
        <w:tblLook w:val="04A0" w:firstRow="1" w:lastRow="0" w:firstColumn="1" w:lastColumn="0" w:noHBand="0" w:noVBand="1"/>
        <w:tblCaption w:val="Example 2"/>
        <w:tblDescription w:val="This table provides an example of an LEA that fails to meet MOE requirements under one method, but satisfies MOE under the other method.  The SEA is not required to reduce the allocation in this scenario."/>
      </w:tblPr>
      <w:tblGrid>
        <w:gridCol w:w="5215"/>
        <w:gridCol w:w="2250"/>
        <w:gridCol w:w="2249"/>
      </w:tblGrid>
      <w:tr w:rsidR="00C97C59" w:rsidRPr="00356164" w14:paraId="0DBB59C5" w14:textId="77777777" w:rsidTr="005B2AA7">
        <w:trPr>
          <w:cnfStyle w:val="100000000000" w:firstRow="1" w:lastRow="0" w:firstColumn="0" w:lastColumn="0" w:oddVBand="0" w:evenVBand="0" w:oddHBand="0" w:evenHBand="0" w:firstRowFirstColumn="0" w:firstRowLastColumn="0" w:lastRowFirstColumn="0" w:lastRowLastColumn="0"/>
          <w:trHeight w:val="344"/>
          <w:tblHeader/>
          <w:jc w:val="center"/>
        </w:trPr>
        <w:tc>
          <w:tcPr>
            <w:cnfStyle w:val="001000000000" w:firstRow="0" w:lastRow="0" w:firstColumn="1" w:lastColumn="0" w:oddVBand="0" w:evenVBand="0" w:oddHBand="0" w:evenHBand="0" w:firstRowFirstColumn="0" w:firstRowLastColumn="0" w:lastRowFirstColumn="0" w:lastRowLastColumn="0"/>
            <w:tcW w:w="5215" w:type="dxa"/>
          </w:tcPr>
          <w:p w14:paraId="7DE494D2" w14:textId="77777777" w:rsidR="00C97C59" w:rsidRPr="00356164" w:rsidRDefault="00C97C59" w:rsidP="00517015">
            <w:pPr>
              <w:pStyle w:val="Body"/>
              <w:spacing w:after="0"/>
              <w:ind w:firstLine="720"/>
              <w:rPr>
                <w:sz w:val="20"/>
              </w:rPr>
            </w:pPr>
          </w:p>
        </w:tc>
        <w:tc>
          <w:tcPr>
            <w:tcW w:w="2250" w:type="dxa"/>
          </w:tcPr>
          <w:p w14:paraId="452E250A" w14:textId="46F72E21" w:rsidR="00C97C59" w:rsidRPr="00356164" w:rsidRDefault="00C97C59">
            <w:pPr>
              <w:pStyle w:val="Body"/>
              <w:spacing w:after="0"/>
              <w:jc w:val="center"/>
              <w:cnfStyle w:val="100000000000" w:firstRow="1" w:lastRow="0" w:firstColumn="0" w:lastColumn="0" w:oddVBand="0" w:evenVBand="0" w:oddHBand="0" w:evenHBand="0" w:firstRowFirstColumn="0" w:firstRowLastColumn="0" w:lastRowFirstColumn="0" w:lastRowLastColumn="0"/>
              <w:rPr>
                <w:sz w:val="20"/>
              </w:rPr>
            </w:pPr>
            <w:r w:rsidRPr="00356164">
              <w:rPr>
                <w:sz w:val="20"/>
              </w:rPr>
              <w:t xml:space="preserve">Method: Fiscal Effort </w:t>
            </w:r>
            <w:r w:rsidR="00750903">
              <w:rPr>
                <w:sz w:val="20"/>
              </w:rPr>
              <w:t>p</w:t>
            </w:r>
            <w:r w:rsidR="00750903" w:rsidRPr="00356164">
              <w:rPr>
                <w:sz w:val="20"/>
              </w:rPr>
              <w:t xml:space="preserve">er </w:t>
            </w:r>
            <w:r w:rsidRPr="00356164">
              <w:rPr>
                <w:sz w:val="20"/>
              </w:rPr>
              <w:t>Student</w:t>
            </w:r>
          </w:p>
        </w:tc>
        <w:tc>
          <w:tcPr>
            <w:tcW w:w="2249" w:type="dxa"/>
          </w:tcPr>
          <w:p w14:paraId="164FC814" w14:textId="77777777" w:rsidR="00C97C59" w:rsidRPr="00356164" w:rsidRDefault="00C97C59" w:rsidP="00517015">
            <w:pPr>
              <w:pStyle w:val="Body"/>
              <w:spacing w:after="0"/>
              <w:jc w:val="center"/>
              <w:cnfStyle w:val="100000000000" w:firstRow="1" w:lastRow="0" w:firstColumn="0" w:lastColumn="0" w:oddVBand="0" w:evenVBand="0" w:oddHBand="0" w:evenHBand="0" w:firstRowFirstColumn="0" w:firstRowLastColumn="0" w:lastRowFirstColumn="0" w:lastRowLastColumn="0"/>
              <w:rPr>
                <w:sz w:val="20"/>
              </w:rPr>
            </w:pPr>
            <w:r w:rsidRPr="00356164">
              <w:rPr>
                <w:sz w:val="20"/>
              </w:rPr>
              <w:t>Method: Aggregate Expenditures</w:t>
            </w:r>
          </w:p>
        </w:tc>
      </w:tr>
      <w:tr w:rsidR="00C97C59" w:rsidRPr="00356164" w14:paraId="6860E604" w14:textId="77777777" w:rsidTr="00BA08B6">
        <w:trPr>
          <w:trHeight w:val="305"/>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676F9E60" w14:textId="77777777" w:rsidR="00C97C59" w:rsidRPr="00356164" w:rsidRDefault="00C97C59" w:rsidP="00517015">
            <w:pPr>
              <w:pStyle w:val="Body"/>
              <w:spacing w:after="0"/>
              <w:rPr>
                <w:sz w:val="20"/>
              </w:rPr>
            </w:pPr>
            <w:r w:rsidRPr="00356164">
              <w:rPr>
                <w:sz w:val="20"/>
              </w:rPr>
              <w:t xml:space="preserve">Amount the LEA spent in the 2nd preceding fiscal year </w:t>
            </w:r>
          </w:p>
        </w:tc>
        <w:tc>
          <w:tcPr>
            <w:tcW w:w="2250" w:type="dxa"/>
            <w:vAlign w:val="center"/>
          </w:tcPr>
          <w:p w14:paraId="401BB17A"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8</w:t>
            </w:r>
            <w:r w:rsidRPr="00356164">
              <w:rPr>
                <w:sz w:val="20"/>
              </w:rPr>
              <w:t>,</w:t>
            </w:r>
            <w:r>
              <w:rPr>
                <w:sz w:val="20"/>
              </w:rPr>
              <w:t>3</w:t>
            </w:r>
            <w:r w:rsidRPr="00356164">
              <w:rPr>
                <w:sz w:val="20"/>
              </w:rPr>
              <w:t>00</w:t>
            </w:r>
          </w:p>
        </w:tc>
        <w:tc>
          <w:tcPr>
            <w:tcW w:w="2249" w:type="dxa"/>
            <w:vAlign w:val="center"/>
          </w:tcPr>
          <w:p w14:paraId="01745EAE"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2</w:t>
            </w:r>
            <w:r w:rsidRPr="00356164">
              <w:rPr>
                <w:sz w:val="20"/>
              </w:rPr>
              <w:t>,</w:t>
            </w:r>
            <w:r>
              <w:rPr>
                <w:sz w:val="20"/>
              </w:rPr>
              <w:t>4</w:t>
            </w:r>
            <w:r w:rsidRPr="00356164">
              <w:rPr>
                <w:sz w:val="20"/>
              </w:rPr>
              <w:t>00,000</w:t>
            </w:r>
          </w:p>
        </w:tc>
      </w:tr>
      <w:tr w:rsidR="00C97C59" w:rsidRPr="00356164" w14:paraId="0997004C" w14:textId="77777777" w:rsidTr="00BA08B6">
        <w:trPr>
          <w:trHeight w:val="530"/>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6865191E" w14:textId="77777777" w:rsidR="00C97C59" w:rsidRPr="00356164" w:rsidRDefault="00C97C59" w:rsidP="00517015">
            <w:pPr>
              <w:pStyle w:val="Body"/>
              <w:spacing w:after="0"/>
              <w:rPr>
                <w:sz w:val="20"/>
              </w:rPr>
            </w:pPr>
            <w:r w:rsidRPr="00356164">
              <w:rPr>
                <w:sz w:val="20"/>
              </w:rPr>
              <w:t xml:space="preserve">Amount </w:t>
            </w:r>
            <w:r>
              <w:rPr>
                <w:sz w:val="20"/>
              </w:rPr>
              <w:t>the LEA had to spend in the prec</w:t>
            </w:r>
            <w:r w:rsidRPr="00356164">
              <w:rPr>
                <w:sz w:val="20"/>
              </w:rPr>
              <w:t>eding fiscal year to maintain effort</w:t>
            </w:r>
          </w:p>
        </w:tc>
        <w:tc>
          <w:tcPr>
            <w:tcW w:w="2250" w:type="dxa"/>
            <w:vAlign w:val="center"/>
          </w:tcPr>
          <w:p w14:paraId="09818E43" w14:textId="77777777" w:rsidR="002355B9"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7</w:t>
            </w:r>
            <w:r w:rsidRPr="00356164">
              <w:rPr>
                <w:sz w:val="20"/>
              </w:rPr>
              <w:t>,4</w:t>
            </w:r>
            <w:r>
              <w:rPr>
                <w:sz w:val="20"/>
              </w:rPr>
              <w:t>7</w:t>
            </w:r>
            <w:r w:rsidR="00E7539C">
              <w:rPr>
                <w:sz w:val="20"/>
              </w:rPr>
              <w:t xml:space="preserve">0 </w:t>
            </w:r>
          </w:p>
          <w:p w14:paraId="4A3B4534" w14:textId="77777777" w:rsidR="00C97C59" w:rsidRPr="00356164" w:rsidRDefault="00E7539C"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Pr>
                <w:sz w:val="20"/>
              </w:rPr>
              <w:t>($8,3</w:t>
            </w:r>
            <w:r w:rsidR="00C97C59" w:rsidRPr="00356164">
              <w:rPr>
                <w:sz w:val="20"/>
              </w:rPr>
              <w:t>00 x .9)</w:t>
            </w:r>
          </w:p>
        </w:tc>
        <w:tc>
          <w:tcPr>
            <w:tcW w:w="2249" w:type="dxa"/>
            <w:vAlign w:val="center"/>
          </w:tcPr>
          <w:p w14:paraId="5EDAC3D1"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2,16</w:t>
            </w:r>
            <w:r w:rsidRPr="00356164">
              <w:rPr>
                <w:sz w:val="20"/>
              </w:rPr>
              <w:t>0,000 ($</w:t>
            </w:r>
            <w:r>
              <w:rPr>
                <w:sz w:val="20"/>
              </w:rPr>
              <w:t>2</w:t>
            </w:r>
            <w:r w:rsidRPr="00356164">
              <w:rPr>
                <w:sz w:val="20"/>
              </w:rPr>
              <w:t>,</w:t>
            </w:r>
            <w:r>
              <w:rPr>
                <w:sz w:val="20"/>
              </w:rPr>
              <w:t>4</w:t>
            </w:r>
            <w:r w:rsidRPr="00356164">
              <w:rPr>
                <w:sz w:val="20"/>
              </w:rPr>
              <w:t>00,000 x 0.90)</w:t>
            </w:r>
          </w:p>
        </w:tc>
      </w:tr>
      <w:tr w:rsidR="00C97C59" w:rsidRPr="00356164" w14:paraId="767EB509" w14:textId="77777777" w:rsidTr="00BA08B6">
        <w:trPr>
          <w:trHeight w:val="344"/>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00F30F26" w14:textId="77777777" w:rsidR="00C97C59" w:rsidRPr="00356164" w:rsidRDefault="00C97C59" w:rsidP="00517015">
            <w:pPr>
              <w:pStyle w:val="Body"/>
              <w:spacing w:after="0"/>
              <w:rPr>
                <w:sz w:val="20"/>
              </w:rPr>
            </w:pPr>
            <w:r w:rsidRPr="00356164">
              <w:rPr>
                <w:sz w:val="20"/>
              </w:rPr>
              <w:t>Actual amount LEA spent in the preceding fiscal year</w:t>
            </w:r>
          </w:p>
        </w:tc>
        <w:tc>
          <w:tcPr>
            <w:tcW w:w="2250" w:type="dxa"/>
            <w:vAlign w:val="center"/>
          </w:tcPr>
          <w:p w14:paraId="0798C660"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7</w:t>
            </w:r>
            <w:r w:rsidRPr="00356164">
              <w:rPr>
                <w:sz w:val="20"/>
              </w:rPr>
              <w:t>,</w:t>
            </w:r>
            <w:r>
              <w:rPr>
                <w:sz w:val="20"/>
              </w:rPr>
              <w:t>1</w:t>
            </w:r>
            <w:r w:rsidRPr="00356164">
              <w:rPr>
                <w:sz w:val="20"/>
              </w:rPr>
              <w:t>00</w:t>
            </w:r>
          </w:p>
        </w:tc>
        <w:tc>
          <w:tcPr>
            <w:tcW w:w="2249" w:type="dxa"/>
            <w:vAlign w:val="center"/>
          </w:tcPr>
          <w:p w14:paraId="0AFF12BE" w14:textId="77777777" w:rsidR="00C97C59" w:rsidRPr="00356164" w:rsidRDefault="00C97C59" w:rsidP="00517015">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2,2</w:t>
            </w:r>
            <w:r w:rsidRPr="00356164">
              <w:rPr>
                <w:sz w:val="20"/>
              </w:rPr>
              <w:t>50,000</w:t>
            </w:r>
          </w:p>
        </w:tc>
      </w:tr>
      <w:tr w:rsidR="00C97C59" w:rsidRPr="00356164" w14:paraId="0D60E436" w14:textId="77777777" w:rsidTr="00BA08B6">
        <w:trPr>
          <w:trHeight w:val="360"/>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75F410B1" w14:textId="77777777" w:rsidR="00C97C59" w:rsidRPr="00356164" w:rsidRDefault="00C97C59" w:rsidP="00517015">
            <w:pPr>
              <w:pStyle w:val="Body"/>
              <w:spacing w:after="0"/>
              <w:rPr>
                <w:sz w:val="20"/>
              </w:rPr>
            </w:pPr>
            <w:r w:rsidRPr="00356164">
              <w:rPr>
                <w:sz w:val="20"/>
              </w:rPr>
              <w:t>Amount by which the LEA failed to maintain effort</w:t>
            </w:r>
          </w:p>
        </w:tc>
        <w:tc>
          <w:tcPr>
            <w:tcW w:w="2250" w:type="dxa"/>
            <w:vAlign w:val="center"/>
          </w:tcPr>
          <w:p w14:paraId="2F31469F"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37</w:t>
            </w:r>
            <w:r w:rsidRPr="00356164">
              <w:rPr>
                <w:sz w:val="20"/>
              </w:rPr>
              <w:t>0</w:t>
            </w:r>
          </w:p>
        </w:tc>
        <w:tc>
          <w:tcPr>
            <w:tcW w:w="2249" w:type="dxa"/>
            <w:vAlign w:val="center"/>
          </w:tcPr>
          <w:p w14:paraId="106F0008"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9</w:t>
            </w:r>
            <w:r w:rsidRPr="00356164">
              <w:rPr>
                <w:sz w:val="20"/>
              </w:rPr>
              <w:t>0,000</w:t>
            </w:r>
          </w:p>
        </w:tc>
      </w:tr>
      <w:tr w:rsidR="00C97C59" w:rsidRPr="00356164" w14:paraId="76296D00" w14:textId="77777777" w:rsidTr="00BA08B6">
        <w:trPr>
          <w:trHeight w:val="344"/>
          <w:jc w:val="center"/>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591FB306" w14:textId="77777777" w:rsidR="00C97C59" w:rsidRPr="00356164" w:rsidRDefault="00C97C59" w:rsidP="00517015">
            <w:pPr>
              <w:pStyle w:val="Body"/>
              <w:spacing w:after="0"/>
              <w:rPr>
                <w:sz w:val="20"/>
              </w:rPr>
            </w:pPr>
            <w:r w:rsidRPr="00356164">
              <w:rPr>
                <w:sz w:val="20"/>
              </w:rPr>
              <w:t>Percentage by which the LEA’s allocation must be reduced</w:t>
            </w:r>
          </w:p>
        </w:tc>
        <w:tc>
          <w:tcPr>
            <w:tcW w:w="2250" w:type="dxa"/>
            <w:vAlign w:val="center"/>
          </w:tcPr>
          <w:p w14:paraId="3023CAFE"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sidRPr="00356164">
              <w:rPr>
                <w:sz w:val="20"/>
              </w:rPr>
              <w:t>-</w:t>
            </w:r>
            <w:r>
              <w:rPr>
                <w:sz w:val="20"/>
              </w:rPr>
              <w:t>4.95</w:t>
            </w:r>
            <w:r w:rsidRPr="00356164">
              <w:rPr>
                <w:sz w:val="20"/>
              </w:rPr>
              <w:t>%</w:t>
            </w:r>
          </w:p>
        </w:tc>
        <w:tc>
          <w:tcPr>
            <w:tcW w:w="2249" w:type="dxa"/>
            <w:vAlign w:val="center"/>
          </w:tcPr>
          <w:p w14:paraId="682F35A2" w14:textId="77777777" w:rsidR="00C97C59" w:rsidRPr="00356164" w:rsidRDefault="00C97C59" w:rsidP="00C97C59">
            <w:pPr>
              <w:pStyle w:val="Body"/>
              <w:spacing w:after="0"/>
              <w:ind w:firstLine="720"/>
              <w:jc w:val="right"/>
              <w:cnfStyle w:val="000000000000" w:firstRow="0" w:lastRow="0" w:firstColumn="0" w:lastColumn="0" w:oddVBand="0" w:evenVBand="0" w:oddHBand="0" w:evenHBand="0" w:firstRowFirstColumn="0" w:firstRowLastColumn="0" w:lastRowFirstColumn="0" w:lastRowLastColumn="0"/>
              <w:rPr>
                <w:sz w:val="20"/>
              </w:rPr>
            </w:pPr>
            <w:r>
              <w:rPr>
                <w:sz w:val="20"/>
              </w:rPr>
              <w:t>N</w:t>
            </w:r>
            <w:r w:rsidR="00AA5538">
              <w:rPr>
                <w:sz w:val="20"/>
              </w:rPr>
              <w:t>/</w:t>
            </w:r>
            <w:r>
              <w:rPr>
                <w:sz w:val="20"/>
              </w:rPr>
              <w:t>A</w:t>
            </w:r>
          </w:p>
        </w:tc>
      </w:tr>
    </w:tbl>
    <w:p w14:paraId="2E47A172" w14:textId="77777777" w:rsidR="006B2641" w:rsidRDefault="006B2641" w:rsidP="006B2641">
      <w:pPr>
        <w:rPr>
          <w:rFonts w:eastAsiaTheme="minorHAnsi" w:cs="Calibri"/>
          <w:color w:val="4E5758"/>
          <w:sz w:val="20"/>
          <w:szCs w:val="22"/>
        </w:rPr>
      </w:pPr>
    </w:p>
    <w:p w14:paraId="0D09636A" w14:textId="77777777" w:rsidR="006B2641" w:rsidRPr="00E838BE" w:rsidRDefault="006B2641" w:rsidP="006B2641">
      <w:pPr>
        <w:rPr>
          <w:rFonts w:ascii="Trebuchet MS" w:hAnsi="Trebuchet MS"/>
          <w:b/>
          <w:sz w:val="24"/>
          <w:u w:val="single"/>
        </w:rPr>
      </w:pPr>
      <w:r>
        <w:rPr>
          <w:rFonts w:ascii="Trebuchet MS" w:hAnsi="Trebuchet MS"/>
          <w:b/>
          <w:sz w:val="24"/>
          <w:u w:val="single"/>
        </w:rPr>
        <w:t>Timeline</w:t>
      </w:r>
    </w:p>
    <w:p w14:paraId="3C379A8C" w14:textId="77777777" w:rsidR="006B2641" w:rsidRDefault="00DC5606" w:rsidP="006B2641">
      <w:pPr>
        <w:rPr>
          <w:rFonts w:eastAsiaTheme="minorHAnsi" w:cs="Calibri"/>
          <w:color w:val="4E5758"/>
          <w:sz w:val="20"/>
          <w:szCs w:val="22"/>
        </w:rPr>
      </w:pPr>
      <w:r>
        <w:rPr>
          <w:rFonts w:eastAsiaTheme="minorHAnsi" w:cs="Calibri"/>
          <w:color w:val="4E5758"/>
          <w:sz w:val="20"/>
          <w:szCs w:val="22"/>
        </w:rPr>
        <w:t>The timeline below provides additional information regarding the annual MOE cycle.</w:t>
      </w:r>
      <w:r>
        <w:rPr>
          <w:rFonts w:eastAsiaTheme="minorHAnsi" w:cs="Calibri"/>
          <w:color w:val="4E5758"/>
          <w:sz w:val="20"/>
          <w:szCs w:val="22"/>
        </w:rPr>
        <w:tab/>
      </w:r>
    </w:p>
    <w:p w14:paraId="3C30B9D0" w14:textId="77777777" w:rsidR="00DC5606" w:rsidRDefault="00DC5606" w:rsidP="006B2641">
      <w:pPr>
        <w:rPr>
          <w:rFonts w:eastAsiaTheme="minorHAnsi" w:cs="Calibri"/>
          <w:color w:val="4E5758"/>
          <w:sz w:val="20"/>
          <w:szCs w:val="22"/>
        </w:rPr>
      </w:pPr>
    </w:p>
    <w:tbl>
      <w:tblPr>
        <w:tblStyle w:val="GridTable1Light-Accent12"/>
        <w:tblW w:w="0" w:type="auto"/>
        <w:jc w:val="center"/>
        <w:tblLook w:val="04A0" w:firstRow="1" w:lastRow="0" w:firstColumn="1" w:lastColumn="0" w:noHBand="0" w:noVBand="1"/>
        <w:tblCaption w:val="Timeline"/>
        <w:tblDescription w:val="This table provides a timeline for activities related to determining whether the LEA has met MOE requirements."/>
      </w:tblPr>
      <w:tblGrid>
        <w:gridCol w:w="2965"/>
        <w:gridCol w:w="6765"/>
      </w:tblGrid>
      <w:tr w:rsidR="006B2641" w14:paraId="10A01239" w14:textId="77777777" w:rsidTr="005B2AA7">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2965" w:type="dxa"/>
          </w:tcPr>
          <w:p w14:paraId="345528F2" w14:textId="77777777" w:rsidR="006B2641" w:rsidRDefault="00DC5606" w:rsidP="00517015">
            <w:pPr>
              <w:jc w:val="center"/>
              <w:rPr>
                <w:rFonts w:eastAsiaTheme="minorHAnsi" w:cs="Calibri"/>
                <w:color w:val="4E5758"/>
                <w:sz w:val="20"/>
                <w:szCs w:val="22"/>
              </w:rPr>
            </w:pPr>
            <w:r>
              <w:rPr>
                <w:rFonts w:eastAsiaTheme="minorHAnsi" w:cs="Calibri"/>
                <w:color w:val="4E5758"/>
                <w:sz w:val="20"/>
              </w:rPr>
              <w:t>Time Period</w:t>
            </w:r>
          </w:p>
        </w:tc>
        <w:tc>
          <w:tcPr>
            <w:tcW w:w="6765" w:type="dxa"/>
          </w:tcPr>
          <w:p w14:paraId="42109139" w14:textId="77777777" w:rsidR="006B2641" w:rsidRDefault="006B2641" w:rsidP="00517015">
            <w:pPr>
              <w:jc w:val="center"/>
              <w:cnfStyle w:val="100000000000" w:firstRow="1"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rPr>
              <w:t>Activity</w:t>
            </w:r>
          </w:p>
        </w:tc>
      </w:tr>
      <w:tr w:rsidR="006B2641" w14:paraId="5B15C528" w14:textId="77777777" w:rsidTr="00BA08B6">
        <w:trPr>
          <w:trHeight w:val="549"/>
          <w:jc w:val="cent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67E7D85D" w14:textId="77777777" w:rsidR="006B2641" w:rsidRDefault="00E838BE" w:rsidP="00517015">
            <w:pPr>
              <w:rPr>
                <w:rFonts w:eastAsiaTheme="minorHAnsi" w:cs="Calibri"/>
                <w:color w:val="4E5758"/>
                <w:sz w:val="20"/>
                <w:szCs w:val="22"/>
              </w:rPr>
            </w:pPr>
            <w:r>
              <w:rPr>
                <w:rFonts w:eastAsiaTheme="minorHAnsi" w:cs="Calibri"/>
                <w:color w:val="4E5758"/>
                <w:sz w:val="20"/>
                <w:szCs w:val="22"/>
              </w:rPr>
              <w:t>Late Spring</w:t>
            </w:r>
          </w:p>
        </w:tc>
        <w:tc>
          <w:tcPr>
            <w:tcW w:w="6765" w:type="dxa"/>
          </w:tcPr>
          <w:p w14:paraId="446468D0" w14:textId="77777777" w:rsidR="006B2641" w:rsidRDefault="00DC5606" w:rsidP="00517015">
            <w:pPr>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CDE will r</w:t>
            </w:r>
            <w:r w:rsidR="00E838BE">
              <w:rPr>
                <w:rFonts w:eastAsiaTheme="minorHAnsi" w:cs="Calibri"/>
                <w:color w:val="4E5758"/>
                <w:sz w:val="20"/>
                <w:szCs w:val="22"/>
              </w:rPr>
              <w:t xml:space="preserve">un </w:t>
            </w:r>
            <w:r>
              <w:rPr>
                <w:rFonts w:eastAsiaTheme="minorHAnsi" w:cs="Calibri"/>
                <w:color w:val="4E5758"/>
                <w:sz w:val="20"/>
                <w:szCs w:val="22"/>
              </w:rPr>
              <w:t xml:space="preserve">the </w:t>
            </w:r>
            <w:r w:rsidR="00E838BE">
              <w:rPr>
                <w:rFonts w:eastAsiaTheme="minorHAnsi" w:cs="Calibri"/>
                <w:color w:val="4E5758"/>
                <w:sz w:val="20"/>
                <w:szCs w:val="22"/>
              </w:rPr>
              <w:t>preliminary review of ESEA MOE based on finalized finance December data pipeline submission</w:t>
            </w:r>
            <w:r w:rsidR="00E7539C">
              <w:rPr>
                <w:rFonts w:eastAsiaTheme="minorHAnsi" w:cs="Calibri"/>
                <w:color w:val="4E5758"/>
                <w:sz w:val="20"/>
                <w:szCs w:val="22"/>
              </w:rPr>
              <w:t>s for the preceding fiscal year.</w:t>
            </w:r>
          </w:p>
        </w:tc>
      </w:tr>
      <w:tr w:rsidR="006B2641" w14:paraId="5B2D4062" w14:textId="77777777" w:rsidTr="00BA08B6">
        <w:trPr>
          <w:trHeight w:val="525"/>
          <w:jc w:val="cent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6D398850" w14:textId="77777777" w:rsidR="006B2641" w:rsidRDefault="00E838BE" w:rsidP="00517015">
            <w:pPr>
              <w:rPr>
                <w:rFonts w:eastAsiaTheme="minorHAnsi" w:cs="Calibri"/>
                <w:color w:val="4E5758"/>
                <w:sz w:val="20"/>
                <w:szCs w:val="22"/>
              </w:rPr>
            </w:pPr>
            <w:r>
              <w:rPr>
                <w:rFonts w:eastAsiaTheme="minorHAnsi" w:cs="Calibri"/>
                <w:color w:val="4E5758"/>
                <w:sz w:val="20"/>
                <w:szCs w:val="22"/>
              </w:rPr>
              <w:t>Late Spring</w:t>
            </w:r>
          </w:p>
        </w:tc>
        <w:tc>
          <w:tcPr>
            <w:tcW w:w="6765" w:type="dxa"/>
          </w:tcPr>
          <w:p w14:paraId="532F5DC5" w14:textId="77777777" w:rsidR="006B2641" w:rsidRDefault="00DC5606" w:rsidP="00DC5606">
            <w:pPr>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 xml:space="preserve">CDE will notify </w:t>
            </w:r>
            <w:r w:rsidR="00E838BE">
              <w:rPr>
                <w:rFonts w:eastAsiaTheme="minorHAnsi" w:cs="Calibri"/>
                <w:color w:val="4E5758"/>
                <w:sz w:val="20"/>
                <w:szCs w:val="22"/>
              </w:rPr>
              <w:t>any LEA that is failing the p</w:t>
            </w:r>
            <w:r>
              <w:rPr>
                <w:rFonts w:eastAsiaTheme="minorHAnsi" w:cs="Calibri"/>
                <w:color w:val="4E5758"/>
                <w:sz w:val="20"/>
                <w:szCs w:val="22"/>
              </w:rPr>
              <w:t>reliminary MOE determination and support the LEA through the waiver request to</w:t>
            </w:r>
            <w:r w:rsidR="00E838BE">
              <w:rPr>
                <w:rFonts w:eastAsiaTheme="minorHAnsi" w:cs="Calibri"/>
                <w:color w:val="4E5758"/>
                <w:sz w:val="20"/>
                <w:szCs w:val="22"/>
              </w:rPr>
              <w:t xml:space="preserve"> USDE</w:t>
            </w:r>
            <w:r>
              <w:rPr>
                <w:rFonts w:eastAsiaTheme="minorHAnsi" w:cs="Calibri"/>
                <w:color w:val="4E5758"/>
                <w:sz w:val="20"/>
                <w:szCs w:val="22"/>
              </w:rPr>
              <w:t xml:space="preserve">, </w:t>
            </w:r>
            <w:r w:rsidR="00E838BE">
              <w:rPr>
                <w:rFonts w:eastAsiaTheme="minorHAnsi" w:cs="Calibri"/>
                <w:color w:val="4E5758"/>
                <w:sz w:val="20"/>
                <w:szCs w:val="22"/>
              </w:rPr>
              <w:t>as needed.</w:t>
            </w:r>
          </w:p>
        </w:tc>
      </w:tr>
      <w:tr w:rsidR="006B2641" w14:paraId="32BC8698" w14:textId="77777777" w:rsidTr="00BA08B6">
        <w:trPr>
          <w:trHeight w:val="525"/>
          <w:jc w:val="cent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720BC611" w14:textId="77777777" w:rsidR="006B2641" w:rsidRDefault="00E838BE" w:rsidP="00517015">
            <w:pPr>
              <w:rPr>
                <w:rFonts w:eastAsiaTheme="minorHAnsi" w:cs="Calibri"/>
                <w:color w:val="4E5758"/>
                <w:sz w:val="20"/>
                <w:szCs w:val="22"/>
              </w:rPr>
            </w:pPr>
            <w:r>
              <w:rPr>
                <w:rFonts w:eastAsiaTheme="minorHAnsi" w:cs="Calibri"/>
                <w:color w:val="4E5758"/>
                <w:sz w:val="20"/>
                <w:szCs w:val="22"/>
              </w:rPr>
              <w:t>Prior to June 30th</w:t>
            </w:r>
          </w:p>
        </w:tc>
        <w:tc>
          <w:tcPr>
            <w:tcW w:w="6765" w:type="dxa"/>
          </w:tcPr>
          <w:p w14:paraId="48BA6B8B" w14:textId="77777777" w:rsidR="006B2641" w:rsidRDefault="00E838BE" w:rsidP="00517015">
            <w:pPr>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If no w</w:t>
            </w:r>
            <w:r w:rsidR="00DC5606">
              <w:rPr>
                <w:rFonts w:eastAsiaTheme="minorHAnsi" w:cs="Calibri"/>
                <w:color w:val="4E5758"/>
                <w:sz w:val="20"/>
                <w:szCs w:val="22"/>
              </w:rPr>
              <w:t>aiver requests are submitted to USDE, CDE will</w:t>
            </w:r>
            <w:r>
              <w:rPr>
                <w:rFonts w:eastAsiaTheme="minorHAnsi" w:cs="Calibri"/>
                <w:color w:val="4E5758"/>
                <w:sz w:val="20"/>
                <w:szCs w:val="22"/>
              </w:rPr>
              <w:t xml:space="preserve"> publish final ESEA MOE determination</w:t>
            </w:r>
            <w:r w:rsidR="00DC5606">
              <w:rPr>
                <w:rFonts w:eastAsiaTheme="minorHAnsi" w:cs="Calibri"/>
                <w:color w:val="4E5758"/>
                <w:sz w:val="20"/>
                <w:szCs w:val="22"/>
              </w:rPr>
              <w:t>s</w:t>
            </w:r>
            <w:r>
              <w:rPr>
                <w:rFonts w:eastAsiaTheme="minorHAnsi" w:cs="Calibri"/>
                <w:color w:val="4E5758"/>
                <w:sz w:val="20"/>
                <w:szCs w:val="22"/>
              </w:rPr>
              <w:t xml:space="preserve"> </w:t>
            </w:r>
            <w:r w:rsidR="00E7539C">
              <w:rPr>
                <w:rFonts w:eastAsiaTheme="minorHAnsi" w:cs="Calibri"/>
                <w:color w:val="4E5758"/>
                <w:sz w:val="20"/>
                <w:szCs w:val="22"/>
              </w:rPr>
              <w:t>on</w:t>
            </w:r>
            <w:r>
              <w:rPr>
                <w:rFonts w:eastAsiaTheme="minorHAnsi" w:cs="Calibri"/>
                <w:color w:val="4E5758"/>
                <w:sz w:val="20"/>
                <w:szCs w:val="22"/>
              </w:rPr>
              <w:t xml:space="preserve"> CDE’s website.</w:t>
            </w:r>
          </w:p>
        </w:tc>
      </w:tr>
      <w:tr w:rsidR="006B2641" w14:paraId="7F54FC07" w14:textId="77777777" w:rsidTr="00BA08B6">
        <w:trPr>
          <w:trHeight w:val="525"/>
          <w:jc w:val="cent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0584398F" w14:textId="77777777" w:rsidR="006B2641" w:rsidRDefault="00E838BE" w:rsidP="00517015">
            <w:pPr>
              <w:rPr>
                <w:rFonts w:eastAsiaTheme="minorHAnsi" w:cs="Calibri"/>
                <w:color w:val="4E5758"/>
                <w:sz w:val="20"/>
                <w:szCs w:val="22"/>
              </w:rPr>
            </w:pPr>
            <w:r>
              <w:rPr>
                <w:rFonts w:eastAsiaTheme="minorHAnsi" w:cs="Calibri"/>
                <w:color w:val="4E5758"/>
                <w:sz w:val="20"/>
                <w:szCs w:val="22"/>
              </w:rPr>
              <w:t xml:space="preserve">When </w:t>
            </w:r>
            <w:r w:rsidR="00E7539C">
              <w:rPr>
                <w:rFonts w:eastAsiaTheme="minorHAnsi" w:cs="Calibri"/>
                <w:color w:val="4E5758"/>
                <w:sz w:val="20"/>
                <w:szCs w:val="22"/>
              </w:rPr>
              <w:t>a</w:t>
            </w:r>
            <w:r>
              <w:rPr>
                <w:rFonts w:eastAsiaTheme="minorHAnsi" w:cs="Calibri"/>
                <w:color w:val="4E5758"/>
                <w:sz w:val="20"/>
                <w:szCs w:val="22"/>
              </w:rPr>
              <w:t>vailable, after June 30th</w:t>
            </w:r>
          </w:p>
        </w:tc>
        <w:tc>
          <w:tcPr>
            <w:tcW w:w="6765" w:type="dxa"/>
          </w:tcPr>
          <w:p w14:paraId="3CA0C93D" w14:textId="77777777" w:rsidR="006B2641" w:rsidRDefault="00E838BE" w:rsidP="00517015">
            <w:pPr>
              <w:cnfStyle w:val="000000000000" w:firstRow="0" w:lastRow="0" w:firstColumn="0" w:lastColumn="0" w:oddVBand="0" w:evenVBand="0" w:oddHBand="0" w:evenHBand="0" w:firstRowFirstColumn="0" w:firstRowLastColumn="0" w:lastRowFirstColumn="0" w:lastRowLastColumn="0"/>
              <w:rPr>
                <w:rFonts w:eastAsiaTheme="minorHAnsi" w:cs="Calibri"/>
                <w:color w:val="4E5758"/>
                <w:sz w:val="20"/>
                <w:szCs w:val="22"/>
              </w:rPr>
            </w:pPr>
            <w:r>
              <w:rPr>
                <w:rFonts w:eastAsiaTheme="minorHAnsi" w:cs="Calibri"/>
                <w:color w:val="4E5758"/>
                <w:sz w:val="20"/>
                <w:szCs w:val="22"/>
              </w:rPr>
              <w:t xml:space="preserve">If waivers </w:t>
            </w:r>
            <w:r w:rsidR="00DC5606">
              <w:rPr>
                <w:rFonts w:eastAsiaTheme="minorHAnsi" w:cs="Calibri"/>
                <w:color w:val="4E5758"/>
                <w:sz w:val="20"/>
                <w:szCs w:val="22"/>
              </w:rPr>
              <w:t>are submitted to USDE</w:t>
            </w:r>
            <w:r>
              <w:rPr>
                <w:rFonts w:eastAsiaTheme="minorHAnsi" w:cs="Calibri"/>
                <w:color w:val="4E5758"/>
                <w:sz w:val="20"/>
                <w:szCs w:val="22"/>
              </w:rPr>
              <w:t>,</w:t>
            </w:r>
            <w:r w:rsidR="00DC5606">
              <w:rPr>
                <w:rFonts w:eastAsiaTheme="minorHAnsi" w:cs="Calibri"/>
                <w:color w:val="4E5758"/>
                <w:sz w:val="20"/>
                <w:szCs w:val="22"/>
              </w:rPr>
              <w:t xml:space="preserve"> CDE will</w:t>
            </w:r>
            <w:r>
              <w:rPr>
                <w:rFonts w:eastAsiaTheme="minorHAnsi" w:cs="Calibri"/>
                <w:color w:val="4E5758"/>
                <w:sz w:val="20"/>
                <w:szCs w:val="22"/>
              </w:rPr>
              <w:t xml:space="preserve"> re-publish ESEA MOE determination</w:t>
            </w:r>
            <w:r w:rsidR="00DC5606">
              <w:rPr>
                <w:rFonts w:eastAsiaTheme="minorHAnsi" w:cs="Calibri"/>
                <w:color w:val="4E5758"/>
                <w:sz w:val="20"/>
                <w:szCs w:val="22"/>
              </w:rPr>
              <w:t>s</w:t>
            </w:r>
            <w:r>
              <w:rPr>
                <w:rFonts w:eastAsiaTheme="minorHAnsi" w:cs="Calibri"/>
                <w:color w:val="4E5758"/>
                <w:sz w:val="20"/>
                <w:szCs w:val="22"/>
              </w:rPr>
              <w:t xml:space="preserve"> after USDE notifications</w:t>
            </w:r>
            <w:r w:rsidR="00DC5606">
              <w:rPr>
                <w:rFonts w:eastAsiaTheme="minorHAnsi" w:cs="Calibri"/>
                <w:color w:val="4E5758"/>
                <w:sz w:val="20"/>
                <w:szCs w:val="22"/>
              </w:rPr>
              <w:t xml:space="preserve"> are received</w:t>
            </w:r>
            <w:r>
              <w:rPr>
                <w:rFonts w:eastAsiaTheme="minorHAnsi" w:cs="Calibri"/>
                <w:color w:val="4E5758"/>
                <w:sz w:val="20"/>
                <w:szCs w:val="22"/>
              </w:rPr>
              <w:t>.</w:t>
            </w:r>
          </w:p>
        </w:tc>
      </w:tr>
    </w:tbl>
    <w:p w14:paraId="7A5594B2" w14:textId="23AB955D" w:rsidR="00DC5606" w:rsidRDefault="00DC5606" w:rsidP="005B2AA7">
      <w:pPr>
        <w:pStyle w:val="Footer"/>
        <w:ind w:left="-720"/>
        <w:jc w:val="center"/>
        <w:rPr>
          <w:color w:val="5C6670" w:themeColor="text1"/>
          <w:sz w:val="16"/>
          <w:szCs w:val="18"/>
        </w:rPr>
      </w:pPr>
    </w:p>
    <w:p w14:paraId="31C52F4A" w14:textId="77777777" w:rsidR="00DC5606" w:rsidRDefault="00DC5606" w:rsidP="00142045">
      <w:pPr>
        <w:pStyle w:val="Footer"/>
        <w:ind w:left="-720"/>
        <w:jc w:val="right"/>
        <w:rPr>
          <w:color w:val="5C6670" w:themeColor="text1"/>
          <w:sz w:val="16"/>
          <w:szCs w:val="18"/>
        </w:rPr>
      </w:pPr>
    </w:p>
    <w:p w14:paraId="74B3F08A" w14:textId="77777777" w:rsidR="00142045" w:rsidRPr="00025E6D" w:rsidRDefault="00142045" w:rsidP="00142045">
      <w:pPr>
        <w:pStyle w:val="Footer"/>
        <w:ind w:left="-720"/>
        <w:jc w:val="right"/>
        <w:rPr>
          <w:color w:val="5C6670" w:themeColor="text1"/>
          <w:sz w:val="16"/>
          <w:szCs w:val="18"/>
        </w:rPr>
      </w:pPr>
      <w:r w:rsidRPr="00025E6D">
        <w:rPr>
          <w:noProof/>
          <w:sz w:val="20"/>
        </w:rPr>
        <mc:AlternateContent>
          <mc:Choice Requires="wps">
            <w:drawing>
              <wp:inline distT="0" distB="0" distL="0" distR="0" wp14:anchorId="3BD8BB5F" wp14:editId="0499104B">
                <wp:extent cx="7772400" cy="1856509"/>
                <wp:effectExtent l="0" t="0" r="0" b="0"/>
                <wp:docPr id="1" name="Text Box 1"/>
                <wp:cNvGraphicFramePr/>
                <a:graphic xmlns:a="http://schemas.openxmlformats.org/drawingml/2006/main">
                  <a:graphicData uri="http://schemas.microsoft.com/office/word/2010/wordprocessingShape">
                    <wps:wsp>
                      <wps:cNvSpPr txBox="1"/>
                      <wps:spPr>
                        <a:xfrm>
                          <a:off x="0" y="0"/>
                          <a:ext cx="7772400" cy="1856509"/>
                        </a:xfrm>
                        <a:prstGeom prst="rect">
                          <a:avLst/>
                        </a:prstGeom>
                        <a:solidFill>
                          <a:srgbClr val="6EC4E8"/>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FE9B7" w14:textId="77777777" w:rsidR="000E4F3F" w:rsidRDefault="000E4F3F" w:rsidP="00142045">
                            <w:pPr>
                              <w:pStyle w:val="Heading2"/>
                            </w:pPr>
                            <w:r>
                              <w:t>Where can I learn more?</w:t>
                            </w:r>
                          </w:p>
                          <w:p w14:paraId="5505EC25" w14:textId="01B4A596" w:rsidR="000E4F3F" w:rsidRPr="00BE02FD" w:rsidRDefault="000E4F3F" w:rsidP="00E838BE">
                            <w:pPr>
                              <w:pStyle w:val="ListParagraph"/>
                              <w:numPr>
                                <w:ilvl w:val="0"/>
                                <w:numId w:val="6"/>
                              </w:numPr>
                              <w:spacing w:after="120"/>
                              <w:rPr>
                                <w:rFonts w:asciiTheme="majorHAnsi" w:hAnsiTheme="majorHAnsi"/>
                                <w:b/>
                                <w:color w:val="FFFFFF" w:themeColor="background1"/>
                              </w:rPr>
                            </w:pPr>
                            <w:r w:rsidRPr="00BE02FD">
                              <w:rPr>
                                <w:rFonts w:asciiTheme="majorHAnsi" w:hAnsiTheme="majorHAnsi"/>
                                <w:color w:val="FFFFFF" w:themeColor="background1"/>
                              </w:rPr>
                              <w:t xml:space="preserve">Additional information related to </w:t>
                            </w:r>
                            <w:r w:rsidR="00D059AF">
                              <w:rPr>
                                <w:rFonts w:asciiTheme="majorHAnsi" w:hAnsiTheme="majorHAnsi"/>
                                <w:color w:val="FFFFFF" w:themeColor="background1"/>
                              </w:rPr>
                              <w:t>the maintenance of effort</w:t>
                            </w:r>
                            <w:r w:rsidRPr="00BE02FD">
                              <w:rPr>
                                <w:rFonts w:asciiTheme="majorHAnsi" w:hAnsiTheme="majorHAnsi"/>
                                <w:color w:val="FFFFFF" w:themeColor="background1"/>
                              </w:rPr>
                              <w:t xml:space="preserve"> requ</w:t>
                            </w:r>
                            <w:r w:rsidR="005B2AA7">
                              <w:rPr>
                                <w:rFonts w:asciiTheme="majorHAnsi" w:hAnsiTheme="majorHAnsi"/>
                                <w:color w:val="FFFFFF" w:themeColor="background1"/>
                              </w:rPr>
                              <w:t xml:space="preserve">irements may be accessed here:  </w:t>
                            </w:r>
                            <w:hyperlink r:id="rId9" w:history="1">
                              <w:r w:rsidR="005B2AA7" w:rsidRPr="008605B4">
                                <w:rPr>
                                  <w:rStyle w:val="Hyperlink"/>
                                </w:rPr>
                                <w:t>www.cde.state.co.us/cdefinance/sffpptablecontents</w:t>
                              </w:r>
                            </w:hyperlink>
                          </w:p>
                          <w:p w14:paraId="5F411909" w14:textId="77777777" w:rsidR="000E4F3F" w:rsidRPr="00BE02FD" w:rsidRDefault="000E4F3F" w:rsidP="00142045">
                            <w:pPr>
                              <w:pStyle w:val="ListParagraph"/>
                              <w:numPr>
                                <w:ilvl w:val="0"/>
                                <w:numId w:val="6"/>
                              </w:numPr>
                              <w:spacing w:after="120"/>
                              <w:rPr>
                                <w:rFonts w:asciiTheme="majorHAnsi" w:hAnsiTheme="majorHAnsi"/>
                                <w:b/>
                                <w:color w:val="FFFFFF" w:themeColor="background1"/>
                              </w:rPr>
                            </w:pPr>
                            <w:r w:rsidRPr="00BE02FD">
                              <w:rPr>
                                <w:rFonts w:asciiTheme="majorHAnsi" w:hAnsiTheme="majorHAnsi"/>
                                <w:color w:val="FFFFFF" w:themeColor="background1"/>
                              </w:rPr>
                              <w:t xml:space="preserve">LEAs may also contact their </w:t>
                            </w:r>
                            <w:hyperlink r:id="rId10" w:history="1">
                              <w:r w:rsidRPr="00BE02FD">
                                <w:rPr>
                                  <w:rStyle w:val="Hyperlink"/>
                                  <w:rFonts w:asciiTheme="majorHAnsi" w:hAnsiTheme="majorHAnsi"/>
                                </w:rPr>
                                <w:t>Regional Contact in the Office of ESEA Programs</w:t>
                              </w:r>
                            </w:hyperlink>
                            <w:r w:rsidR="00D059AF">
                              <w:rPr>
                                <w:rFonts w:asciiTheme="majorHAnsi" w:hAnsiTheme="majorHAnsi"/>
                                <w:color w:val="FFFFFF" w:themeColor="background1"/>
                              </w:rPr>
                              <w:t xml:space="preserve"> for more information</w:t>
                            </w:r>
                            <w:r w:rsidR="006B2641">
                              <w:rPr>
                                <w:rFonts w:asciiTheme="majorHAnsi" w:hAnsiTheme="majorHAnsi"/>
                                <w:color w:val="FFFFFF" w:themeColor="background1"/>
                              </w:rPr>
                              <w:t>.</w:t>
                            </w:r>
                          </w:p>
                          <w:p w14:paraId="5F6A670D" w14:textId="6CEE1AE8" w:rsidR="000E4F3F" w:rsidRPr="00F878EA" w:rsidRDefault="000E4F3F" w:rsidP="00F878EA">
                            <w:pPr>
                              <w:pStyle w:val="ListParagraph"/>
                              <w:numPr>
                                <w:ilvl w:val="0"/>
                                <w:numId w:val="6"/>
                              </w:numPr>
                              <w:spacing w:after="120"/>
                              <w:rPr>
                                <w:rFonts w:asciiTheme="majorHAnsi" w:hAnsiTheme="majorHAnsi"/>
                                <w:color w:val="FFFFFF" w:themeColor="background1"/>
                              </w:rPr>
                            </w:pPr>
                            <w:r w:rsidRPr="00F878EA">
                              <w:rPr>
                                <w:rFonts w:asciiTheme="majorHAnsi" w:hAnsiTheme="majorHAnsi"/>
                                <w:color w:val="FFFFFF" w:themeColor="background1"/>
                              </w:rPr>
                              <w:t>Guidance provided by the U.S. Department of Education may be accessed here:</w:t>
                            </w:r>
                            <w:r w:rsidRPr="00F878EA">
                              <w:rPr>
                                <w:rFonts w:asciiTheme="majorHAnsi" w:hAnsiTheme="majorHAnsi"/>
                                <w:sz w:val="20"/>
                              </w:rPr>
                              <w:t xml:space="preserve"> </w:t>
                            </w:r>
                            <w:hyperlink r:id="rId11" w:history="1">
                              <w:r w:rsidRPr="00F878EA">
                                <w:rPr>
                                  <w:rStyle w:val="Hyperlink"/>
                                  <w:rFonts w:asciiTheme="majorHAnsi" w:hAnsiTheme="majorHAnsi"/>
                                </w:rPr>
                                <w:t>www2.ed.gov/programs/titleiparta/fiscalguid.pdf</w:t>
                              </w:r>
                            </w:hyperlink>
                            <w:r w:rsidRPr="00F878EA">
                              <w:rPr>
                                <w:rFonts w:asciiTheme="majorHAnsi" w:hAnsiTheme="majorHAnsi"/>
                                <w:color w:val="FFFFFF" w:themeColor="background1"/>
                              </w:rPr>
                              <w:t xml:space="preserve"> </w:t>
                            </w:r>
                          </w:p>
                          <w:p w14:paraId="1000566F" w14:textId="77777777" w:rsidR="000E4F3F" w:rsidRPr="00DD5FA3" w:rsidRDefault="00D33171" w:rsidP="00142045">
                            <w:pPr>
                              <w:pStyle w:val="ListParagraph"/>
                              <w:numPr>
                                <w:ilvl w:val="0"/>
                                <w:numId w:val="6"/>
                              </w:numPr>
                              <w:spacing w:after="120"/>
                              <w:rPr>
                                <w:rFonts w:ascii="Trebuchet MS" w:hAnsi="Trebuchet MS"/>
                                <w:b/>
                                <w:color w:val="FFFFFF" w:themeColor="background1"/>
                                <w:sz w:val="24"/>
                              </w:rPr>
                            </w:pPr>
                            <w:hyperlink r:id="rId12" w:history="1">
                              <w:r w:rsidR="000E4F3F" w:rsidRPr="00DD5FA3">
                                <w:rPr>
                                  <w:rStyle w:val="Hyperlink"/>
                                  <w:color w:val="FFFFFF" w:themeColor="background1"/>
                                </w:rPr>
                                <w:t>View all CDE fact sheets</w:t>
                              </w:r>
                            </w:hyperlink>
                            <w:r w:rsidR="000E4F3F" w:rsidRPr="00FC4B8C">
                              <w:rPr>
                                <w:color w:val="FFFFFF" w:themeColor="background1"/>
                              </w:rPr>
                              <w:t xml:space="preserve">: </w:t>
                            </w:r>
                            <w:r w:rsidR="000E4F3F">
                              <w:rPr>
                                <w:color w:val="FFFFFF" w:themeColor="background1"/>
                              </w:rPr>
                              <w:t>www.cde.state.co.us/c</w:t>
                            </w:r>
                            <w:r w:rsidR="000E4F3F" w:rsidRPr="00DD5FA3">
                              <w:rPr>
                                <w:color w:val="FFFFFF" w:themeColor="background1"/>
                              </w:rPr>
                              <w:t>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3BD8BB5F" id="_x0000_t202" coordsize="21600,21600" o:spt="202" path="m,l,21600r21600,l21600,xe">
                <v:stroke joinstyle="miter"/>
                <v:path gradientshapeok="t" o:connecttype="rect"/>
              </v:shapetype>
              <v:shape id="Text Box 1" o:spid="_x0000_s1027" type="#_x0000_t202" style="width:612pt;height:1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" fillcolor="#6ec4e8" stroked="f">
                <v:textbox inset="57.6pt,14.4pt,57.6pt,14.4pt">
                  <w:txbxContent>
                    <w:p w14:paraId="3D8FE9B7" w14:textId="77777777" w:rsidR="000E4F3F" w:rsidRDefault="000E4F3F" w:rsidP="00142045">
                      <w:pPr>
                        <w:pStyle w:val="Heading2"/>
                      </w:pPr>
                      <w:r>
                        <w:t>Where can I learn more?</w:t>
                      </w:r>
                    </w:p>
                    <w:p w14:paraId="5505EC25" w14:textId="01B4A596" w:rsidR="000E4F3F" w:rsidRPr="00BE02FD" w:rsidRDefault="000E4F3F" w:rsidP="00E838BE">
                      <w:pPr>
                        <w:pStyle w:val="ListParagraph"/>
                        <w:numPr>
                          <w:ilvl w:val="0"/>
                          <w:numId w:val="6"/>
                        </w:numPr>
                        <w:spacing w:after="120"/>
                        <w:rPr>
                          <w:rFonts w:asciiTheme="majorHAnsi" w:hAnsiTheme="majorHAnsi"/>
                          <w:b/>
                          <w:color w:val="FFFFFF" w:themeColor="background1"/>
                        </w:rPr>
                      </w:pPr>
                      <w:r w:rsidRPr="00BE02FD">
                        <w:rPr>
                          <w:rFonts w:asciiTheme="majorHAnsi" w:hAnsiTheme="majorHAnsi"/>
                          <w:color w:val="FFFFFF" w:themeColor="background1"/>
                        </w:rPr>
                        <w:t xml:space="preserve">Additional information related to </w:t>
                      </w:r>
                      <w:r w:rsidR="00D059AF">
                        <w:rPr>
                          <w:rFonts w:asciiTheme="majorHAnsi" w:hAnsiTheme="majorHAnsi"/>
                          <w:color w:val="FFFFFF" w:themeColor="background1"/>
                        </w:rPr>
                        <w:t>the maintenance of effort</w:t>
                      </w:r>
                      <w:r w:rsidRPr="00BE02FD">
                        <w:rPr>
                          <w:rFonts w:asciiTheme="majorHAnsi" w:hAnsiTheme="majorHAnsi"/>
                          <w:color w:val="FFFFFF" w:themeColor="background1"/>
                        </w:rPr>
                        <w:t xml:space="preserve"> requ</w:t>
                      </w:r>
                      <w:r w:rsidR="005B2AA7">
                        <w:rPr>
                          <w:rFonts w:asciiTheme="majorHAnsi" w:hAnsiTheme="majorHAnsi"/>
                          <w:color w:val="FFFFFF" w:themeColor="background1"/>
                        </w:rPr>
                        <w:t xml:space="preserve">irements may be accessed here:  </w:t>
                      </w:r>
                      <w:hyperlink r:id="rId13" w:history="1">
                        <w:r w:rsidR="005B2AA7" w:rsidRPr="008605B4">
                          <w:rPr>
                            <w:rStyle w:val="Hyperlink"/>
                          </w:rPr>
                          <w:t>www.cde.state.co.us/cdefinance/sffpptablecontents</w:t>
                        </w:r>
                      </w:hyperlink>
                    </w:p>
                    <w:p w14:paraId="5F411909" w14:textId="77777777" w:rsidR="000E4F3F" w:rsidRPr="00BE02FD" w:rsidRDefault="000E4F3F" w:rsidP="00142045">
                      <w:pPr>
                        <w:pStyle w:val="ListParagraph"/>
                        <w:numPr>
                          <w:ilvl w:val="0"/>
                          <w:numId w:val="6"/>
                        </w:numPr>
                        <w:spacing w:after="120"/>
                        <w:rPr>
                          <w:rFonts w:asciiTheme="majorHAnsi" w:hAnsiTheme="majorHAnsi"/>
                          <w:b/>
                          <w:color w:val="FFFFFF" w:themeColor="background1"/>
                        </w:rPr>
                      </w:pPr>
                      <w:r w:rsidRPr="00BE02FD">
                        <w:rPr>
                          <w:rFonts w:asciiTheme="majorHAnsi" w:hAnsiTheme="majorHAnsi"/>
                          <w:color w:val="FFFFFF" w:themeColor="background1"/>
                        </w:rPr>
                        <w:t xml:space="preserve">LEAs may also contact their </w:t>
                      </w:r>
                      <w:hyperlink r:id="rId14" w:history="1">
                        <w:r w:rsidRPr="00BE02FD">
                          <w:rPr>
                            <w:rStyle w:val="Hyperlink"/>
                            <w:rFonts w:asciiTheme="majorHAnsi" w:hAnsiTheme="majorHAnsi"/>
                          </w:rPr>
                          <w:t>Regional Contact in the Office of ESEA Programs</w:t>
                        </w:r>
                      </w:hyperlink>
                      <w:r w:rsidR="00D059AF">
                        <w:rPr>
                          <w:rFonts w:asciiTheme="majorHAnsi" w:hAnsiTheme="majorHAnsi"/>
                          <w:color w:val="FFFFFF" w:themeColor="background1"/>
                        </w:rPr>
                        <w:t xml:space="preserve"> for more information</w:t>
                      </w:r>
                      <w:r w:rsidR="006B2641">
                        <w:rPr>
                          <w:rFonts w:asciiTheme="majorHAnsi" w:hAnsiTheme="majorHAnsi"/>
                          <w:color w:val="FFFFFF" w:themeColor="background1"/>
                        </w:rPr>
                        <w:t>.</w:t>
                      </w:r>
                    </w:p>
                    <w:p w14:paraId="5F6A670D" w14:textId="6CEE1AE8" w:rsidR="000E4F3F" w:rsidRPr="00F878EA" w:rsidRDefault="000E4F3F" w:rsidP="00F878EA">
                      <w:pPr>
                        <w:pStyle w:val="ListParagraph"/>
                        <w:numPr>
                          <w:ilvl w:val="0"/>
                          <w:numId w:val="6"/>
                        </w:numPr>
                        <w:spacing w:after="120"/>
                        <w:rPr>
                          <w:rFonts w:asciiTheme="majorHAnsi" w:hAnsiTheme="majorHAnsi"/>
                          <w:color w:val="FFFFFF" w:themeColor="background1"/>
                        </w:rPr>
                      </w:pPr>
                      <w:r w:rsidRPr="00F878EA">
                        <w:rPr>
                          <w:rFonts w:asciiTheme="majorHAnsi" w:hAnsiTheme="majorHAnsi"/>
                          <w:color w:val="FFFFFF" w:themeColor="background1"/>
                        </w:rPr>
                        <w:t>Guidance provided by the U.S. Department of Education may be accessed here:</w:t>
                      </w:r>
                      <w:r w:rsidRPr="00F878EA">
                        <w:rPr>
                          <w:rFonts w:asciiTheme="majorHAnsi" w:hAnsiTheme="majorHAnsi"/>
                          <w:sz w:val="20"/>
                        </w:rPr>
                        <w:t xml:space="preserve"> </w:t>
                      </w:r>
                      <w:hyperlink r:id="rId15" w:history="1">
                        <w:r w:rsidRPr="00F878EA">
                          <w:rPr>
                            <w:rStyle w:val="Hyperlink"/>
                            <w:rFonts w:asciiTheme="majorHAnsi" w:hAnsiTheme="majorHAnsi"/>
                          </w:rPr>
                          <w:t>www2.ed.gov/programs/titleiparta/fiscalguid.pdf</w:t>
                        </w:r>
                      </w:hyperlink>
                      <w:r w:rsidRPr="00F878EA">
                        <w:rPr>
                          <w:rFonts w:asciiTheme="majorHAnsi" w:hAnsiTheme="majorHAnsi"/>
                          <w:color w:val="FFFFFF" w:themeColor="background1"/>
                        </w:rPr>
                        <w:t xml:space="preserve"> </w:t>
                      </w:r>
                    </w:p>
                    <w:p w14:paraId="1000566F" w14:textId="77777777" w:rsidR="000E4F3F" w:rsidRPr="00DD5FA3" w:rsidRDefault="00DD0B30" w:rsidP="00142045">
                      <w:pPr>
                        <w:pStyle w:val="ListParagraph"/>
                        <w:numPr>
                          <w:ilvl w:val="0"/>
                          <w:numId w:val="6"/>
                        </w:numPr>
                        <w:spacing w:after="120"/>
                        <w:rPr>
                          <w:rFonts w:ascii="Trebuchet MS" w:hAnsi="Trebuchet MS"/>
                          <w:b/>
                          <w:color w:val="FFFFFF" w:themeColor="background1"/>
                          <w:sz w:val="24"/>
                        </w:rPr>
                      </w:pPr>
                      <w:hyperlink r:id="rId16" w:history="1">
                        <w:r w:rsidR="000E4F3F" w:rsidRPr="00DD5FA3">
                          <w:rPr>
                            <w:rStyle w:val="Hyperlink"/>
                            <w:color w:val="FFFFFF" w:themeColor="background1"/>
                          </w:rPr>
                          <w:t>View all CDE fact sheets</w:t>
                        </w:r>
                      </w:hyperlink>
                      <w:r w:rsidR="000E4F3F" w:rsidRPr="00FC4B8C">
                        <w:rPr>
                          <w:color w:val="FFFFFF" w:themeColor="background1"/>
                        </w:rPr>
                        <w:t xml:space="preserve">: </w:t>
                      </w:r>
                      <w:r w:rsidR="000E4F3F">
                        <w:rPr>
                          <w:color w:val="FFFFFF" w:themeColor="background1"/>
                        </w:rPr>
                        <w:t>www.cde.state.co.us/c</w:t>
                      </w:r>
                      <w:r w:rsidR="000E4F3F" w:rsidRPr="00DD5FA3">
                        <w:rPr>
                          <w:color w:val="FFFFFF" w:themeColor="background1"/>
                        </w:rPr>
                        <w:t>ommunications/factsheetsandfaqs</w:t>
                      </w:r>
                    </w:p>
                  </w:txbxContent>
                </v:textbox>
                <w10:anchorlock/>
              </v:shape>
            </w:pict>
          </mc:Fallback>
        </mc:AlternateContent>
      </w:r>
    </w:p>
    <w:sectPr w:rsidR="00142045" w:rsidRPr="00025E6D" w:rsidSect="002213A7">
      <w:headerReference w:type="default" r:id="rId17"/>
      <w:footerReference w:type="default" r:id="rId18"/>
      <w:headerReference w:type="first" r:id="rId19"/>
      <w:footerReference w:type="first" r:id="rId20"/>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F7DDF" w14:textId="77777777" w:rsidR="00D33171" w:rsidRDefault="00D33171" w:rsidP="00715744">
      <w:r>
        <w:separator/>
      </w:r>
    </w:p>
    <w:p w14:paraId="494C8E02" w14:textId="77777777" w:rsidR="00D33171" w:rsidRDefault="00D33171"/>
  </w:endnote>
  <w:endnote w:type="continuationSeparator" w:id="0">
    <w:p w14:paraId="6795ABCD" w14:textId="77777777" w:rsidR="00D33171" w:rsidRDefault="00D33171" w:rsidP="00715744">
      <w:r>
        <w:continuationSeparator/>
      </w:r>
    </w:p>
    <w:p w14:paraId="73ECC71D" w14:textId="77777777" w:rsidR="00D33171" w:rsidRDefault="00D33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F59C6" w14:textId="77777777" w:rsidR="000E4F3F" w:rsidRDefault="000E4F3F" w:rsidP="002B3B48">
    <w:pPr>
      <w:pStyle w:val="Footer"/>
      <w:jc w:val="right"/>
      <w:rPr>
        <w:color w:val="5C6670" w:themeColor="text1"/>
        <w:sz w:val="18"/>
        <w:szCs w:val="18"/>
      </w:rPr>
    </w:pPr>
  </w:p>
  <w:p w14:paraId="5A13D825" w14:textId="77777777" w:rsidR="000E4F3F" w:rsidRPr="002B3B48" w:rsidRDefault="000E4F3F"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1BA9D" w14:textId="5DFBE8FA" w:rsidR="000E4F3F" w:rsidRPr="00715744" w:rsidRDefault="00FA588F" w:rsidP="00715744">
    <w:pPr>
      <w:pStyle w:val="Footer"/>
      <w:jc w:val="right"/>
      <w:rPr>
        <w:color w:val="5C6670" w:themeColor="text1"/>
        <w:sz w:val="18"/>
        <w:szCs w:val="18"/>
      </w:rPr>
    </w:pPr>
    <w:r>
      <w:rPr>
        <w:color w:val="5C6670" w:themeColor="text1"/>
        <w:sz w:val="18"/>
        <w:szCs w:val="18"/>
      </w:rPr>
      <w:t>FEBRUARY</w:t>
    </w:r>
    <w:r w:rsidR="00A52EF8">
      <w:rPr>
        <w:color w:val="5C6670" w:themeColor="text1"/>
        <w:sz w:val="18"/>
        <w:szCs w:val="18"/>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DD1B7" w14:textId="77777777" w:rsidR="00D33171" w:rsidRDefault="00D33171" w:rsidP="00715744">
      <w:r>
        <w:separator/>
      </w:r>
    </w:p>
    <w:p w14:paraId="0DA3442F" w14:textId="77777777" w:rsidR="00D33171" w:rsidRDefault="00D33171"/>
  </w:footnote>
  <w:footnote w:type="continuationSeparator" w:id="0">
    <w:p w14:paraId="57EC73A8" w14:textId="77777777" w:rsidR="00D33171" w:rsidRDefault="00D33171" w:rsidP="00715744">
      <w:r>
        <w:continuationSeparator/>
      </w:r>
    </w:p>
    <w:p w14:paraId="251DC9D3" w14:textId="77777777" w:rsidR="00D33171" w:rsidRDefault="00D33171"/>
  </w:footnote>
  <w:footnote w:id="1">
    <w:p w14:paraId="21C5DC13" w14:textId="77777777" w:rsidR="00FA588F" w:rsidRDefault="00FA588F" w:rsidP="00FA588F">
      <w:pPr>
        <w:pStyle w:val="FootnoteText"/>
        <w:rPr>
          <w:sz w:val="16"/>
        </w:rPr>
      </w:pPr>
      <w:r>
        <w:rPr>
          <w:rStyle w:val="FootnoteReference"/>
        </w:rPr>
        <w:footnoteRef/>
      </w:r>
      <w:r>
        <w:t xml:space="preserve"> </w:t>
      </w:r>
      <w:r w:rsidRPr="003D7E06">
        <w:rPr>
          <w:sz w:val="16"/>
        </w:rPr>
        <w:t>The fiscal effort per student is the amount of state and local expenditures spent on a per-pupil basis, while the aggregate</w:t>
      </w:r>
    </w:p>
    <w:p w14:paraId="761914C3" w14:textId="3E988438" w:rsidR="00FA588F" w:rsidRDefault="00FA588F" w:rsidP="00FA588F">
      <w:pPr>
        <w:pStyle w:val="FootnoteText"/>
      </w:pPr>
      <w:r w:rsidRPr="003D7E06">
        <w:rPr>
          <w:sz w:val="16"/>
        </w:rPr>
        <w:t xml:space="preserve">expenditures are the total state and local expenditures at </w:t>
      </w:r>
      <w:r>
        <w:rPr>
          <w:sz w:val="16"/>
        </w:rPr>
        <w:t xml:space="preserve">the </w:t>
      </w:r>
      <w:r w:rsidRPr="003D7E06">
        <w:rPr>
          <w:sz w:val="16"/>
        </w:rPr>
        <w:t xml:space="preserve">LEA-level. </w:t>
      </w:r>
      <w:r w:rsidRPr="006D1910">
        <w:rPr>
          <w:sz w:val="16"/>
        </w:rPr>
        <w:t xml:space="preserve"> </w:t>
      </w:r>
    </w:p>
  </w:footnote>
  <w:footnote w:id="2">
    <w:p w14:paraId="593C5810" w14:textId="77777777" w:rsidR="00FA588F" w:rsidRDefault="006D1910">
      <w:pPr>
        <w:pStyle w:val="FootnoteText"/>
        <w:rPr>
          <w:sz w:val="16"/>
        </w:rPr>
      </w:pPr>
      <w:r w:rsidRPr="006D1910">
        <w:rPr>
          <w:rStyle w:val="FootnoteReference"/>
          <w:sz w:val="16"/>
        </w:rPr>
        <w:footnoteRef/>
      </w:r>
      <w:r w:rsidRPr="006D1910">
        <w:rPr>
          <w:sz w:val="16"/>
        </w:rPr>
        <w:t xml:space="preserve"> The preceding fiscal year is the federal fiscal year, or</w:t>
      </w:r>
      <w:r w:rsidR="00FA588F">
        <w:rPr>
          <w:sz w:val="16"/>
        </w:rPr>
        <w:t xml:space="preserve"> </w:t>
      </w:r>
      <w:r w:rsidRPr="006D1910">
        <w:rPr>
          <w:sz w:val="16"/>
        </w:rPr>
        <w:t xml:space="preserve">the 12-month fiscal period most commonly used in a state for </w:t>
      </w:r>
    </w:p>
    <w:p w14:paraId="54B194FA" w14:textId="01466612" w:rsidR="006D1910" w:rsidRDefault="00FA588F">
      <w:pPr>
        <w:pStyle w:val="FootnoteText"/>
      </w:pPr>
      <w:r w:rsidRPr="006D1910">
        <w:rPr>
          <w:sz w:val="16"/>
        </w:rPr>
        <w:t>Official</w:t>
      </w:r>
      <w:r w:rsidR="006D1910" w:rsidRPr="006D1910">
        <w:rPr>
          <w:sz w:val="16"/>
        </w:rPr>
        <w:t xml:space="preserve"> reporting purposes, prior to the beginning of the federal fiscal year in which funds are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237D6" w14:textId="77777777" w:rsidR="000E4F3F" w:rsidRDefault="000E4F3F" w:rsidP="005363FC">
    <w:pPr>
      <w:pStyle w:val="Header"/>
      <w:tabs>
        <w:tab w:val="clear" w:pos="4320"/>
        <w:tab w:val="clear" w:pos="8640"/>
        <w:tab w:val="left" w:pos="1820"/>
        <w:tab w:val="left" w:pos="3440"/>
        <w:tab w:val="left" w:pos="4373"/>
      </w:tabs>
    </w:pPr>
  </w:p>
  <w:p w14:paraId="6184F989" w14:textId="77777777" w:rsidR="000E4F3F" w:rsidRDefault="000E4F3F" w:rsidP="005363FC">
    <w:pPr>
      <w:pStyle w:val="Header"/>
      <w:tabs>
        <w:tab w:val="clear" w:pos="4320"/>
        <w:tab w:val="clear" w:pos="8640"/>
        <w:tab w:val="left" w:pos="1820"/>
        <w:tab w:val="left" w:pos="3440"/>
        <w:tab w:val="left" w:pos="4373"/>
      </w:tabs>
    </w:pPr>
    <w:r>
      <w:rPr>
        <w:noProof/>
      </w:rPr>
      <w:drawing>
        <wp:inline distT="0" distB="0" distL="0" distR="0" wp14:anchorId="0A722622" wp14:editId="582D9149">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565F315" w14:textId="77777777" w:rsidR="000E4F3F" w:rsidRDefault="00DC5606" w:rsidP="00942392">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Maintenance of Effort</w:t>
    </w:r>
    <w:r w:rsidR="000E4F3F">
      <w:rPr>
        <w:rFonts w:ascii="Museo Slab 500" w:hAnsi="Museo Slab 500"/>
        <w:b/>
        <w:bCs/>
        <w:color w:val="919BA5" w:themeColor="text1" w:themeTint="A6"/>
        <w:sz w:val="18"/>
        <w:szCs w:val="18"/>
      </w:rPr>
      <w:t>:  Requirements Under the Every Student Succeeds Act</w:t>
    </w:r>
    <w:r w:rsidR="000E4F3F">
      <w:rPr>
        <w:rFonts w:ascii="Museo Slab 500" w:hAnsi="Museo Slab 500"/>
        <w:b/>
        <w:bCs/>
        <w:color w:val="919BA5" w:themeColor="text1" w:themeTint="A6"/>
        <w:sz w:val="18"/>
        <w:szCs w:val="18"/>
      </w:rPr>
      <w:tab/>
    </w:r>
    <w:r w:rsidR="000E4F3F" w:rsidRPr="00CF122E">
      <w:rPr>
        <w:b/>
        <w:color w:val="919BA5" w:themeColor="text1" w:themeTint="A6"/>
        <w:szCs w:val="20"/>
      </w:rPr>
      <w:fldChar w:fldCharType="begin"/>
    </w:r>
    <w:r w:rsidR="000E4F3F" w:rsidRPr="00CF122E">
      <w:rPr>
        <w:b/>
        <w:color w:val="919BA5" w:themeColor="text1" w:themeTint="A6"/>
        <w:szCs w:val="20"/>
      </w:rPr>
      <w:instrText xml:space="preserve"> PAGE   \* MERGEFORMAT </w:instrText>
    </w:r>
    <w:r w:rsidR="000E4F3F" w:rsidRPr="00CF122E">
      <w:rPr>
        <w:b/>
        <w:color w:val="919BA5" w:themeColor="text1" w:themeTint="A6"/>
        <w:szCs w:val="20"/>
      </w:rPr>
      <w:fldChar w:fldCharType="separate"/>
    </w:r>
    <w:r w:rsidR="00E466E2">
      <w:rPr>
        <w:b/>
        <w:noProof/>
        <w:color w:val="919BA5" w:themeColor="text1" w:themeTint="A6"/>
        <w:szCs w:val="20"/>
      </w:rPr>
      <w:t>3</w:t>
    </w:r>
    <w:r w:rsidR="000E4F3F" w:rsidRPr="00CF122E">
      <w:rPr>
        <w:b/>
        <w:color w:val="919BA5" w:themeColor="text1" w:themeTint="A6"/>
        <w:szCs w:val="20"/>
      </w:rPr>
      <w:fldChar w:fldCharType="end"/>
    </w:r>
  </w:p>
  <w:p w14:paraId="732B3F32" w14:textId="77777777" w:rsidR="000E4F3F" w:rsidRDefault="00D33171" w:rsidP="005363FC">
    <w:pPr>
      <w:pStyle w:val="Header"/>
      <w:tabs>
        <w:tab w:val="clear" w:pos="4320"/>
        <w:tab w:val="clear" w:pos="8640"/>
        <w:tab w:val="left" w:pos="4373"/>
      </w:tabs>
    </w:pPr>
    <w:r>
      <w:pict w14:anchorId="672B7A6E">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4861" w14:textId="77777777" w:rsidR="000E4F3F" w:rsidRDefault="000E4F3F" w:rsidP="004423DE">
    <w:pPr>
      <w:pStyle w:val="Header"/>
      <w:ind w:left="-720"/>
    </w:pPr>
    <w:r w:rsidRPr="00FB2F6E">
      <w:rPr>
        <w:noProof/>
      </w:rPr>
      <mc:AlternateContent>
        <mc:Choice Requires="wps">
          <w:drawing>
            <wp:anchor distT="0" distB="0" distL="114300" distR="114300" simplePos="0" relativeHeight="251669504" behindDoc="0" locked="0" layoutInCell="1" allowOverlap="1" wp14:anchorId="0A04B0CC" wp14:editId="70FF259F">
              <wp:simplePos x="0" y="0"/>
              <wp:positionH relativeFrom="page">
                <wp:align>left</wp:align>
              </wp:positionH>
              <wp:positionV relativeFrom="paragraph">
                <wp:posOffset>57785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14:paraId="2C17E507" w14:textId="77777777" w:rsidR="000E4F3F" w:rsidRPr="002E5F0E" w:rsidRDefault="000E4F3F"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04B0CC" id="_x0000_t202" coordsize="21600,21600" o:spt="202" path="m,l,21600r21600,l21600,xe">
              <v:stroke joinstyle="miter"/>
              <v:path gradientshapeok="t" o:connecttype="rect"/>
            </v:shapetype>
            <v:shape id="Text Box 9" o:spid="_x0000_s1028" type="#_x0000_t202" style="position:absolute;left:0;text-align:left;margin-left:0;margin-top:4.55pt;width:270pt;height:30.0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" filled="f" stroked="f" strokeweight=".5pt">
              <v:textbox inset="0,0,0,0">
                <w:txbxContent>
                  <w:p w14:paraId="2C17E507" w14:textId="77777777" w:rsidR="000E4F3F" w:rsidRPr="002E5F0E" w:rsidRDefault="000E4F3F" w:rsidP="00C703E3">
                    <w:pPr>
                      <w:pStyle w:val="Heading3"/>
                      <w:tabs>
                        <w:tab w:val="left" w:pos="720"/>
                      </w:tabs>
                      <w:spacing w:before="360"/>
                      <w:ind w:left="720"/>
                    </w:pPr>
                    <w:r>
                      <w:t>COLORADO DEPARTMENT OF EDUCATION</w:t>
                    </w:r>
                  </w:p>
                </w:txbxContent>
              </v:textbox>
              <w10:wrap anchorx="page"/>
            </v:shape>
          </w:pict>
        </mc:Fallback>
      </mc:AlternateContent>
    </w:r>
    <w:r w:rsidRPr="00587144">
      <w:rPr>
        <w:rFonts w:eastAsia="Calibri" w:cs="Times New Roman"/>
        <w:noProof/>
        <w:szCs w:val="22"/>
      </w:rPr>
      <mc:AlternateContent>
        <mc:Choice Requires="wps">
          <w:drawing>
            <wp:anchor distT="0" distB="0" distL="114300" distR="114300" simplePos="0" relativeHeight="251670528" behindDoc="0" locked="0" layoutInCell="1" allowOverlap="1" wp14:anchorId="075348B7" wp14:editId="21194303">
              <wp:simplePos x="0" y="0"/>
              <wp:positionH relativeFrom="page">
                <wp:align>left</wp:align>
              </wp:positionH>
              <wp:positionV relativeFrom="paragraph">
                <wp:posOffset>419735</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14:paraId="1D173CAA" w14:textId="77777777" w:rsidR="000E4F3F" w:rsidRPr="00587144" w:rsidRDefault="003F606F" w:rsidP="001A50C0">
                          <w:pPr>
                            <w:pStyle w:val="Heading1"/>
                          </w:pPr>
                          <w:r>
                            <w:t>Maintenance of Effort</w:t>
                          </w:r>
                        </w:p>
                        <w:p w14:paraId="1F7F0526" w14:textId="77777777" w:rsidR="000E4F3F" w:rsidRPr="00587144" w:rsidRDefault="000E4F3F" w:rsidP="001A50C0">
                          <w:pPr>
                            <w:pStyle w:val="Heading2"/>
                            <w:ind w:left="720"/>
                          </w:pPr>
                          <w:r>
                            <w:t>Requirements under the Every Student Succeeds 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5348B7" id="Text Box 10" o:spid="_x0000_s1029" type="#_x0000_t202" style="position:absolute;left:0;text-align:left;margin-left:0;margin-top:33.05pt;width:590.4pt;height:66.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" filled="f" stroked="f" strokeweight=".5pt">
              <v:textbox inset="0,0,0,0">
                <w:txbxContent>
                  <w:p w14:paraId="1D173CAA" w14:textId="77777777" w:rsidR="000E4F3F" w:rsidRPr="00587144" w:rsidRDefault="003F606F" w:rsidP="001A50C0">
                    <w:pPr>
                      <w:pStyle w:val="Heading1"/>
                    </w:pPr>
                    <w:r>
                      <w:t>Maintenance of Effort</w:t>
                    </w:r>
                  </w:p>
                  <w:p w14:paraId="1F7F0526" w14:textId="77777777" w:rsidR="000E4F3F" w:rsidRPr="00587144" w:rsidRDefault="000E4F3F" w:rsidP="001A50C0">
                    <w:pPr>
                      <w:pStyle w:val="Heading2"/>
                      <w:ind w:left="720"/>
                    </w:pPr>
                    <w:r>
                      <w:t>Requirements under the Every Student Succeeds Act</w:t>
                    </w:r>
                  </w:p>
                </w:txbxContent>
              </v:textbox>
              <w10:wrap anchorx="page"/>
            </v:shape>
          </w:pict>
        </mc:Fallback>
      </mc:AlternateContent>
    </w:r>
    <w:r>
      <w:rPr>
        <w:noProof/>
      </w:rPr>
      <w:drawing>
        <wp:anchor distT="0" distB="0" distL="114300" distR="114300" simplePos="0" relativeHeight="251668480" behindDoc="1" locked="1" layoutInCell="0" allowOverlap="0" wp14:anchorId="612C9C36" wp14:editId="0771A075">
          <wp:simplePos x="0" y="0"/>
          <wp:positionH relativeFrom="page">
            <wp:align>left</wp:align>
          </wp:positionH>
          <wp:positionV relativeFrom="page">
            <wp:posOffset>6350</wp:posOffset>
          </wp:positionV>
          <wp:extent cx="7909560" cy="1856232"/>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030502F5"/>
    <w:multiLevelType w:val="hybridMultilevel"/>
    <w:tmpl w:val="1B84050E"/>
    <w:lvl w:ilvl="0" w:tplc="F022FEDE">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3B31593"/>
    <w:multiLevelType w:val="hybridMultilevel"/>
    <w:tmpl w:val="DA047D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4EF032E"/>
    <w:multiLevelType w:val="hybridMultilevel"/>
    <w:tmpl w:val="3ACE6B7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0A231BA7"/>
    <w:multiLevelType w:val="hybridMultilevel"/>
    <w:tmpl w:val="2FE00E2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14566CAD"/>
    <w:multiLevelType w:val="hybridMultilevel"/>
    <w:tmpl w:val="D87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26BBF"/>
    <w:multiLevelType w:val="hybridMultilevel"/>
    <w:tmpl w:val="B67EB68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BBB006E"/>
    <w:multiLevelType w:val="hybridMultilevel"/>
    <w:tmpl w:val="732A9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74235"/>
    <w:multiLevelType w:val="hybridMultilevel"/>
    <w:tmpl w:val="55760FA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 w15:restartNumberingAfterBreak="0">
    <w:nsid w:val="32F51BFA"/>
    <w:multiLevelType w:val="hybridMultilevel"/>
    <w:tmpl w:val="223A5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F2800"/>
    <w:multiLevelType w:val="hybridMultilevel"/>
    <w:tmpl w:val="98B6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B7A94"/>
    <w:multiLevelType w:val="hybridMultilevel"/>
    <w:tmpl w:val="8564EEF0"/>
    <w:lvl w:ilvl="0" w:tplc="F022FEDE">
      <w:numFmt w:val="bullet"/>
      <w:lvlText w:val="•"/>
      <w:lvlJc w:val="left"/>
      <w:pPr>
        <w:ind w:left="1845"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E251DF"/>
    <w:multiLevelType w:val="hybridMultilevel"/>
    <w:tmpl w:val="2DD26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47041C"/>
    <w:multiLevelType w:val="hybridMultilevel"/>
    <w:tmpl w:val="BE960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C2322"/>
    <w:multiLevelType w:val="hybridMultilevel"/>
    <w:tmpl w:val="1A9C1938"/>
    <w:lvl w:ilvl="0" w:tplc="F022FEDE">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7"/>
  </w:num>
  <w:num w:numId="3">
    <w:abstractNumId w:val="19"/>
  </w:num>
  <w:num w:numId="4">
    <w:abstractNumId w:val="17"/>
  </w:num>
  <w:num w:numId="5">
    <w:abstractNumId w:val="19"/>
  </w:num>
  <w:num w:numId="6">
    <w:abstractNumId w:val="12"/>
  </w:num>
  <w:num w:numId="7">
    <w:abstractNumId w:val="15"/>
  </w:num>
  <w:num w:numId="8">
    <w:abstractNumId w:val="0"/>
  </w:num>
  <w:num w:numId="9">
    <w:abstractNumId w:val="20"/>
  </w:num>
  <w:num w:numId="10">
    <w:abstractNumId w:val="16"/>
  </w:num>
  <w:num w:numId="11">
    <w:abstractNumId w:val="5"/>
  </w:num>
  <w:num w:numId="12">
    <w:abstractNumId w:val="10"/>
  </w:num>
  <w:num w:numId="13">
    <w:abstractNumId w:val="2"/>
  </w:num>
  <w:num w:numId="14">
    <w:abstractNumId w:val="1"/>
  </w:num>
  <w:num w:numId="15">
    <w:abstractNumId w:val="11"/>
  </w:num>
  <w:num w:numId="16">
    <w:abstractNumId w:val="18"/>
  </w:num>
  <w:num w:numId="17">
    <w:abstractNumId w:val="13"/>
  </w:num>
  <w:num w:numId="18">
    <w:abstractNumId w:val="7"/>
  </w:num>
  <w:num w:numId="19">
    <w:abstractNumId w:val="14"/>
  </w:num>
  <w:num w:numId="20">
    <w:abstractNumId w:val="6"/>
  </w:num>
  <w:num w:numId="21">
    <w:abstractNumId w:val="8"/>
  </w:num>
  <w:num w:numId="22">
    <w:abstractNumId w:val="4"/>
  </w:num>
  <w:num w:numId="23">
    <w:abstractNumId w:val="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24AA7"/>
    <w:rsid w:val="00025E6D"/>
    <w:rsid w:val="0004746F"/>
    <w:rsid w:val="0005151C"/>
    <w:rsid w:val="000748A2"/>
    <w:rsid w:val="000828B7"/>
    <w:rsid w:val="000A1EE8"/>
    <w:rsid w:val="000A304C"/>
    <w:rsid w:val="000B6FBD"/>
    <w:rsid w:val="000D078B"/>
    <w:rsid w:val="000E4F3F"/>
    <w:rsid w:val="000F32A0"/>
    <w:rsid w:val="00100C29"/>
    <w:rsid w:val="001076C1"/>
    <w:rsid w:val="00126727"/>
    <w:rsid w:val="00141D81"/>
    <w:rsid w:val="00142045"/>
    <w:rsid w:val="001472C2"/>
    <w:rsid w:val="0016007D"/>
    <w:rsid w:val="00186D02"/>
    <w:rsid w:val="001A50C0"/>
    <w:rsid w:val="001D1D0A"/>
    <w:rsid w:val="001D283A"/>
    <w:rsid w:val="001E097D"/>
    <w:rsid w:val="001E4FE2"/>
    <w:rsid w:val="002213A7"/>
    <w:rsid w:val="002355B9"/>
    <w:rsid w:val="0026412F"/>
    <w:rsid w:val="00271851"/>
    <w:rsid w:val="00276257"/>
    <w:rsid w:val="002821B7"/>
    <w:rsid w:val="00283A4B"/>
    <w:rsid w:val="00294F34"/>
    <w:rsid w:val="0029762E"/>
    <w:rsid w:val="00297951"/>
    <w:rsid w:val="002A5525"/>
    <w:rsid w:val="002B3B48"/>
    <w:rsid w:val="002B5DAF"/>
    <w:rsid w:val="002B7FBD"/>
    <w:rsid w:val="002D1E61"/>
    <w:rsid w:val="002F0384"/>
    <w:rsid w:val="002F2F0C"/>
    <w:rsid w:val="002F5951"/>
    <w:rsid w:val="002F6C0D"/>
    <w:rsid w:val="00337E58"/>
    <w:rsid w:val="00340A28"/>
    <w:rsid w:val="00347984"/>
    <w:rsid w:val="00356164"/>
    <w:rsid w:val="00381C34"/>
    <w:rsid w:val="00391B68"/>
    <w:rsid w:val="003B2226"/>
    <w:rsid w:val="003B2FF1"/>
    <w:rsid w:val="003C72EC"/>
    <w:rsid w:val="003D7E06"/>
    <w:rsid w:val="003F42F9"/>
    <w:rsid w:val="003F480A"/>
    <w:rsid w:val="003F4E8C"/>
    <w:rsid w:val="003F606F"/>
    <w:rsid w:val="004110D1"/>
    <w:rsid w:val="004155D4"/>
    <w:rsid w:val="0042335A"/>
    <w:rsid w:val="004337DB"/>
    <w:rsid w:val="00442342"/>
    <w:rsid w:val="004423DE"/>
    <w:rsid w:val="00481A14"/>
    <w:rsid w:val="00484FF1"/>
    <w:rsid w:val="0049770E"/>
    <w:rsid w:val="004A2EF8"/>
    <w:rsid w:val="004B1C0E"/>
    <w:rsid w:val="004B26FF"/>
    <w:rsid w:val="004C3022"/>
    <w:rsid w:val="004F3BA3"/>
    <w:rsid w:val="005363FC"/>
    <w:rsid w:val="005414AF"/>
    <w:rsid w:val="00542D90"/>
    <w:rsid w:val="00546AAC"/>
    <w:rsid w:val="00560459"/>
    <w:rsid w:val="005620B5"/>
    <w:rsid w:val="005721D7"/>
    <w:rsid w:val="0057352B"/>
    <w:rsid w:val="00587144"/>
    <w:rsid w:val="00596A09"/>
    <w:rsid w:val="005B2AA7"/>
    <w:rsid w:val="005B2EBC"/>
    <w:rsid w:val="005C0951"/>
    <w:rsid w:val="005C3368"/>
    <w:rsid w:val="005D7D4B"/>
    <w:rsid w:val="00612A23"/>
    <w:rsid w:val="00613613"/>
    <w:rsid w:val="00620DCD"/>
    <w:rsid w:val="0062289B"/>
    <w:rsid w:val="00624562"/>
    <w:rsid w:val="0062741F"/>
    <w:rsid w:val="00633510"/>
    <w:rsid w:val="006461F0"/>
    <w:rsid w:val="006533BE"/>
    <w:rsid w:val="00673C9C"/>
    <w:rsid w:val="006B2641"/>
    <w:rsid w:val="006B26DE"/>
    <w:rsid w:val="006B6AD7"/>
    <w:rsid w:val="006B77E1"/>
    <w:rsid w:val="006D0275"/>
    <w:rsid w:val="006D1910"/>
    <w:rsid w:val="006D19D5"/>
    <w:rsid w:val="006D7632"/>
    <w:rsid w:val="006E36AC"/>
    <w:rsid w:val="006E7F96"/>
    <w:rsid w:val="00715744"/>
    <w:rsid w:val="0072231C"/>
    <w:rsid w:val="00731C9D"/>
    <w:rsid w:val="00736A92"/>
    <w:rsid w:val="00743263"/>
    <w:rsid w:val="00745D7A"/>
    <w:rsid w:val="00750903"/>
    <w:rsid w:val="0079066B"/>
    <w:rsid w:val="00797D8E"/>
    <w:rsid w:val="007B38CB"/>
    <w:rsid w:val="007E0B1B"/>
    <w:rsid w:val="007F22B0"/>
    <w:rsid w:val="00800C59"/>
    <w:rsid w:val="0081525F"/>
    <w:rsid w:val="00821179"/>
    <w:rsid w:val="00825EAF"/>
    <w:rsid w:val="008428F4"/>
    <w:rsid w:val="00846456"/>
    <w:rsid w:val="00870940"/>
    <w:rsid w:val="00872AA3"/>
    <w:rsid w:val="00874511"/>
    <w:rsid w:val="008C0AEA"/>
    <w:rsid w:val="008D1EE1"/>
    <w:rsid w:val="008E1B8D"/>
    <w:rsid w:val="0093015B"/>
    <w:rsid w:val="00942392"/>
    <w:rsid w:val="00960C4E"/>
    <w:rsid w:val="009704FD"/>
    <w:rsid w:val="009A1646"/>
    <w:rsid w:val="009A4290"/>
    <w:rsid w:val="009B3797"/>
    <w:rsid w:val="009C28A1"/>
    <w:rsid w:val="009E04BA"/>
    <w:rsid w:val="009F0DCA"/>
    <w:rsid w:val="00A0423E"/>
    <w:rsid w:val="00A16008"/>
    <w:rsid w:val="00A16A16"/>
    <w:rsid w:val="00A21316"/>
    <w:rsid w:val="00A32E9B"/>
    <w:rsid w:val="00A52EF8"/>
    <w:rsid w:val="00A66725"/>
    <w:rsid w:val="00A827B0"/>
    <w:rsid w:val="00AA5538"/>
    <w:rsid w:val="00AA71C5"/>
    <w:rsid w:val="00AA7976"/>
    <w:rsid w:val="00AB5E87"/>
    <w:rsid w:val="00AC1803"/>
    <w:rsid w:val="00AD1AD2"/>
    <w:rsid w:val="00AE623A"/>
    <w:rsid w:val="00AE7E7C"/>
    <w:rsid w:val="00AF6335"/>
    <w:rsid w:val="00B320B2"/>
    <w:rsid w:val="00B46C15"/>
    <w:rsid w:val="00B50833"/>
    <w:rsid w:val="00B61DD4"/>
    <w:rsid w:val="00B633B0"/>
    <w:rsid w:val="00B66C91"/>
    <w:rsid w:val="00B67B4E"/>
    <w:rsid w:val="00B75D0F"/>
    <w:rsid w:val="00B82660"/>
    <w:rsid w:val="00B87240"/>
    <w:rsid w:val="00B913E2"/>
    <w:rsid w:val="00B95A87"/>
    <w:rsid w:val="00BA08B6"/>
    <w:rsid w:val="00BA2515"/>
    <w:rsid w:val="00BA60BA"/>
    <w:rsid w:val="00BB17E4"/>
    <w:rsid w:val="00BC4E68"/>
    <w:rsid w:val="00BE02FD"/>
    <w:rsid w:val="00BE1334"/>
    <w:rsid w:val="00BF62CD"/>
    <w:rsid w:val="00C112D3"/>
    <w:rsid w:val="00C35175"/>
    <w:rsid w:val="00C4391D"/>
    <w:rsid w:val="00C46278"/>
    <w:rsid w:val="00C50F78"/>
    <w:rsid w:val="00C56BAF"/>
    <w:rsid w:val="00C64DE1"/>
    <w:rsid w:val="00C7031E"/>
    <w:rsid w:val="00C703E3"/>
    <w:rsid w:val="00C97C59"/>
    <w:rsid w:val="00CA487A"/>
    <w:rsid w:val="00CB0319"/>
    <w:rsid w:val="00CB09FF"/>
    <w:rsid w:val="00CB0A4C"/>
    <w:rsid w:val="00CC16B0"/>
    <w:rsid w:val="00CC1C83"/>
    <w:rsid w:val="00CC2F33"/>
    <w:rsid w:val="00CD1EA3"/>
    <w:rsid w:val="00CF3CAC"/>
    <w:rsid w:val="00D0167F"/>
    <w:rsid w:val="00D059AF"/>
    <w:rsid w:val="00D14AB5"/>
    <w:rsid w:val="00D1749B"/>
    <w:rsid w:val="00D30396"/>
    <w:rsid w:val="00D319FB"/>
    <w:rsid w:val="00D33171"/>
    <w:rsid w:val="00D3357A"/>
    <w:rsid w:val="00D41FAA"/>
    <w:rsid w:val="00D515B8"/>
    <w:rsid w:val="00D64931"/>
    <w:rsid w:val="00D6723F"/>
    <w:rsid w:val="00D70A76"/>
    <w:rsid w:val="00D70EDA"/>
    <w:rsid w:val="00D869AC"/>
    <w:rsid w:val="00D93ED1"/>
    <w:rsid w:val="00DB24CD"/>
    <w:rsid w:val="00DB46F9"/>
    <w:rsid w:val="00DB581D"/>
    <w:rsid w:val="00DC5606"/>
    <w:rsid w:val="00DD0B30"/>
    <w:rsid w:val="00DD5FA3"/>
    <w:rsid w:val="00DF1CFE"/>
    <w:rsid w:val="00E23FAD"/>
    <w:rsid w:val="00E24B41"/>
    <w:rsid w:val="00E44A7E"/>
    <w:rsid w:val="00E466E2"/>
    <w:rsid w:val="00E5337B"/>
    <w:rsid w:val="00E7539C"/>
    <w:rsid w:val="00E838BE"/>
    <w:rsid w:val="00E851EE"/>
    <w:rsid w:val="00E92333"/>
    <w:rsid w:val="00EA3E2E"/>
    <w:rsid w:val="00EC0506"/>
    <w:rsid w:val="00EC6A99"/>
    <w:rsid w:val="00EC7EC5"/>
    <w:rsid w:val="00ED7391"/>
    <w:rsid w:val="00EE5D91"/>
    <w:rsid w:val="00EF1157"/>
    <w:rsid w:val="00F00497"/>
    <w:rsid w:val="00F43ECA"/>
    <w:rsid w:val="00F67BDF"/>
    <w:rsid w:val="00F70D5B"/>
    <w:rsid w:val="00F75245"/>
    <w:rsid w:val="00F8252E"/>
    <w:rsid w:val="00F84D89"/>
    <w:rsid w:val="00F878EA"/>
    <w:rsid w:val="00F94F78"/>
    <w:rsid w:val="00FA2DEA"/>
    <w:rsid w:val="00FA588F"/>
    <w:rsid w:val="00FB1205"/>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87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6D1910"/>
    <w:pPr>
      <w:spacing w:before="120" w:after="60"/>
    </w:pPr>
    <w:rPr>
      <w:rFonts w:ascii="Trebuchet MS" w:hAnsi="Trebuchet MS"/>
      <w:b/>
      <w:sz w:val="20"/>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22"/>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table" w:customStyle="1" w:styleId="GridTable1Light-Accent11">
    <w:name w:val="Grid Table 1 Light - Accent 11"/>
    <w:basedOn w:val="TableNormal"/>
    <w:uiPriority w:val="46"/>
    <w:rsid w:val="006B77E1"/>
    <w:tblPr>
      <w:tblStyleRowBandSize w:val="1"/>
      <w:tblStyleColBandSize w:val="1"/>
      <w:tblBorders>
        <w:top w:val="single" w:sz="4" w:space="0" w:color="B5D0E9" w:themeColor="accent1" w:themeTint="66"/>
        <w:left w:val="single" w:sz="4" w:space="0" w:color="B5D0E9" w:themeColor="accent1" w:themeTint="66"/>
        <w:bottom w:val="single" w:sz="4" w:space="0" w:color="B5D0E9" w:themeColor="accent1" w:themeTint="66"/>
        <w:right w:val="single" w:sz="4" w:space="0" w:color="B5D0E9" w:themeColor="accent1" w:themeTint="66"/>
        <w:insideH w:val="single" w:sz="4" w:space="0" w:color="B5D0E9" w:themeColor="accent1" w:themeTint="66"/>
        <w:insideV w:val="single" w:sz="4" w:space="0" w:color="B5D0E9" w:themeColor="accent1" w:themeTint="66"/>
      </w:tblBorders>
    </w:tblPr>
    <w:tblStylePr w:type="firstRow">
      <w:rPr>
        <w:b/>
        <w:bCs/>
      </w:rPr>
      <w:tblPr/>
      <w:tcPr>
        <w:tcBorders>
          <w:bottom w:val="single" w:sz="12" w:space="0" w:color="91B9DE" w:themeColor="accent1" w:themeTint="99"/>
        </w:tcBorders>
      </w:tcPr>
    </w:tblStylePr>
    <w:tblStylePr w:type="lastRow">
      <w:rPr>
        <w:b/>
        <w:bCs/>
      </w:rPr>
      <w:tblPr/>
      <w:tcPr>
        <w:tcBorders>
          <w:top w:val="double" w:sz="2" w:space="0" w:color="91B9DE"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37E58"/>
    <w:rPr>
      <w:sz w:val="16"/>
      <w:szCs w:val="16"/>
    </w:rPr>
  </w:style>
  <w:style w:type="paragraph" w:styleId="CommentText">
    <w:name w:val="annotation text"/>
    <w:basedOn w:val="Normal"/>
    <w:link w:val="CommentTextChar"/>
    <w:uiPriority w:val="99"/>
    <w:semiHidden/>
    <w:unhideWhenUsed/>
    <w:rsid w:val="00337E58"/>
    <w:rPr>
      <w:sz w:val="20"/>
      <w:szCs w:val="20"/>
    </w:rPr>
  </w:style>
  <w:style w:type="character" w:customStyle="1" w:styleId="CommentTextChar">
    <w:name w:val="Comment Text Char"/>
    <w:basedOn w:val="DefaultParagraphFont"/>
    <w:link w:val="CommentText"/>
    <w:uiPriority w:val="99"/>
    <w:semiHidden/>
    <w:rsid w:val="00337E5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37E58"/>
    <w:rPr>
      <w:b/>
      <w:bCs/>
    </w:rPr>
  </w:style>
  <w:style w:type="character" w:customStyle="1" w:styleId="CommentSubjectChar">
    <w:name w:val="Comment Subject Char"/>
    <w:basedOn w:val="CommentTextChar"/>
    <w:link w:val="CommentSubject"/>
    <w:uiPriority w:val="99"/>
    <w:semiHidden/>
    <w:rsid w:val="00337E58"/>
    <w:rPr>
      <w:rFonts w:ascii="Calibri" w:hAnsi="Calibri"/>
      <w:b/>
      <w:bCs/>
      <w:sz w:val="20"/>
      <w:szCs w:val="20"/>
    </w:rPr>
  </w:style>
  <w:style w:type="paragraph" w:styleId="Revision">
    <w:name w:val="Revision"/>
    <w:hidden/>
    <w:uiPriority w:val="99"/>
    <w:semiHidden/>
    <w:rsid w:val="00A32E9B"/>
    <w:rPr>
      <w:rFonts w:ascii="Calibri" w:hAnsi="Calibri"/>
      <w:sz w:val="22"/>
    </w:rPr>
  </w:style>
  <w:style w:type="table" w:customStyle="1" w:styleId="GridTable1Light-Accent12">
    <w:name w:val="Grid Table 1 Light - Accent 12"/>
    <w:basedOn w:val="TableNormal"/>
    <w:uiPriority w:val="46"/>
    <w:rsid w:val="006B2641"/>
    <w:tblPr>
      <w:tblStyleRowBandSize w:val="1"/>
      <w:tblStyleColBandSize w:val="1"/>
      <w:tblBorders>
        <w:top w:val="single" w:sz="4" w:space="0" w:color="B5D0E9" w:themeColor="accent1" w:themeTint="66"/>
        <w:left w:val="single" w:sz="4" w:space="0" w:color="B5D0E9" w:themeColor="accent1" w:themeTint="66"/>
        <w:bottom w:val="single" w:sz="4" w:space="0" w:color="B5D0E9" w:themeColor="accent1" w:themeTint="66"/>
        <w:right w:val="single" w:sz="4" w:space="0" w:color="B5D0E9" w:themeColor="accent1" w:themeTint="66"/>
        <w:insideH w:val="single" w:sz="4" w:space="0" w:color="B5D0E9" w:themeColor="accent1" w:themeTint="66"/>
        <w:insideV w:val="single" w:sz="4" w:space="0" w:color="B5D0E9" w:themeColor="accent1" w:themeTint="66"/>
      </w:tblBorders>
    </w:tblPr>
    <w:tblStylePr w:type="firstRow">
      <w:rPr>
        <w:b/>
        <w:bCs/>
      </w:rPr>
      <w:tblPr/>
      <w:tcPr>
        <w:tcBorders>
          <w:bottom w:val="single" w:sz="12" w:space="0" w:color="91B9DE" w:themeColor="accent1" w:themeTint="99"/>
        </w:tcBorders>
      </w:tcPr>
    </w:tblStylePr>
    <w:tblStylePr w:type="lastRow">
      <w:rPr>
        <w:b/>
        <w:bCs/>
      </w:rPr>
      <w:tblPr/>
      <w:tcPr>
        <w:tcBorders>
          <w:top w:val="double" w:sz="2" w:space="0" w:color="91B9DE"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7539C"/>
    <w:rPr>
      <w:color w:val="18375D" w:themeColor="followedHyperlink"/>
      <w:u w:val="single"/>
    </w:rPr>
  </w:style>
  <w:style w:type="paragraph" w:styleId="FootnoteText">
    <w:name w:val="footnote text"/>
    <w:basedOn w:val="Normal"/>
    <w:link w:val="FootnoteTextChar"/>
    <w:uiPriority w:val="99"/>
    <w:unhideWhenUsed/>
    <w:rsid w:val="006D1910"/>
    <w:rPr>
      <w:sz w:val="20"/>
      <w:szCs w:val="20"/>
    </w:rPr>
  </w:style>
  <w:style w:type="character" w:customStyle="1" w:styleId="FootnoteTextChar">
    <w:name w:val="Footnote Text Char"/>
    <w:basedOn w:val="DefaultParagraphFont"/>
    <w:link w:val="FootnoteText"/>
    <w:uiPriority w:val="99"/>
    <w:rsid w:val="006D1910"/>
    <w:rPr>
      <w:rFonts w:ascii="Calibri" w:hAnsi="Calibri"/>
      <w:sz w:val="20"/>
      <w:szCs w:val="20"/>
    </w:rPr>
  </w:style>
  <w:style w:type="character" w:styleId="FootnoteReference">
    <w:name w:val="footnote reference"/>
    <w:basedOn w:val="DefaultParagraphFont"/>
    <w:uiPriority w:val="99"/>
    <w:semiHidden/>
    <w:unhideWhenUsed/>
    <w:rsid w:val="006D19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cdefinance/sffpptablecontents" TargetMode="External"/><Relationship Id="rId13" Type="http://schemas.openxmlformats.org/officeDocument/2006/relationships/hyperlink" Target="http://www.cde.state.co.us/cdefinance/sffpptablecontent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de.state.co.us/Communications/factsheetsandfaq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de.state.co.us/Communications/factsheetsandfaq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gov/programs/titleiparta/fiscalguid.pdf" TargetMode="External"/><Relationship Id="rId5" Type="http://schemas.openxmlformats.org/officeDocument/2006/relationships/webSettings" Target="webSettings.xml"/><Relationship Id="rId15" Type="http://schemas.openxmlformats.org/officeDocument/2006/relationships/hyperlink" Target="https://www2.ed.gov/programs/titleiparta/fiscalguid.pdf" TargetMode="External"/><Relationship Id="rId10" Type="http://schemas.openxmlformats.org/officeDocument/2006/relationships/hyperlink" Target="http://www.cde.state.co.us/fedprograms/ov/inde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de.state.co.us/cdefinance/sffpptablecontents" TargetMode="External"/><Relationship Id="rId14" Type="http://schemas.openxmlformats.org/officeDocument/2006/relationships/hyperlink" Target="http://www.cde.state.co.us/fedprograms/ov/inde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3CBD7-A785-4AB1-8BE4-14363FCB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2018-02-20T18:31:00Z</dcterms:created>
  <dcterms:modified xsi:type="dcterms:W3CDTF">2018-02-20T18:31:00Z</dcterms:modified>
</cp:coreProperties>
</file>