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FAFC" w14:textId="77777777" w:rsidR="00D4317E" w:rsidRDefault="00D4317E" w:rsidP="00692F2A">
      <w:pPr>
        <w:spacing w:after="0" w:line="240" w:lineRule="auto"/>
        <w:jc w:val="center"/>
        <w:rPr>
          <w:b/>
          <w:i/>
          <w:sz w:val="12"/>
          <w:szCs w:val="28"/>
        </w:rPr>
      </w:pPr>
    </w:p>
    <w:p w14:paraId="4F1C53BD" w14:textId="77777777" w:rsidR="005F52CF" w:rsidRPr="00D4317E" w:rsidRDefault="005F52CF" w:rsidP="00692F2A">
      <w:pPr>
        <w:spacing w:after="0" w:line="240" w:lineRule="auto"/>
        <w:jc w:val="center"/>
        <w:rPr>
          <w:b/>
          <w:i/>
          <w:sz w:val="12"/>
          <w:szCs w:val="28"/>
        </w:rPr>
      </w:pPr>
    </w:p>
    <w:p w14:paraId="0CC54A5D" w14:textId="77777777" w:rsidR="00693CB0" w:rsidRPr="005F52CF" w:rsidRDefault="00581C12" w:rsidP="005F52CF">
      <w:pPr>
        <w:spacing w:after="0" w:line="240" w:lineRule="auto"/>
        <w:jc w:val="center"/>
        <w:rPr>
          <w:sz w:val="32"/>
          <w:szCs w:val="32"/>
        </w:rPr>
      </w:pPr>
      <w:r w:rsidRPr="005F52CF">
        <w:rPr>
          <w:b/>
          <w:sz w:val="28"/>
          <w:szCs w:val="28"/>
        </w:rPr>
        <w:t>M</w:t>
      </w:r>
      <w:r w:rsidR="00CF409A">
        <w:rPr>
          <w:b/>
          <w:sz w:val="28"/>
          <w:szCs w:val="28"/>
        </w:rPr>
        <w:t>enu</w:t>
      </w:r>
      <w:r w:rsidRPr="005F52CF">
        <w:rPr>
          <w:b/>
          <w:sz w:val="28"/>
          <w:szCs w:val="28"/>
        </w:rPr>
        <w:t xml:space="preserve"> of Supports Available for </w:t>
      </w:r>
      <w:r w:rsidR="00DF073E" w:rsidRPr="005F52CF">
        <w:rPr>
          <w:b/>
          <w:sz w:val="28"/>
          <w:szCs w:val="28"/>
        </w:rPr>
        <w:t>Schools Identified for Improvement</w:t>
      </w:r>
    </w:p>
    <w:p w14:paraId="07C276F4" w14:textId="77777777" w:rsidR="00693CB0" w:rsidRPr="005F52CF" w:rsidRDefault="00693CB0" w:rsidP="005F52CF">
      <w:pPr>
        <w:spacing w:after="0" w:line="240" w:lineRule="auto"/>
        <w:jc w:val="center"/>
        <w:rPr>
          <w:szCs w:val="24"/>
        </w:rPr>
      </w:pPr>
    </w:p>
    <w:p w14:paraId="4A5A25B6" w14:textId="03A23838" w:rsidR="00693CB0" w:rsidRDefault="00581C12" w:rsidP="00692F2A">
      <w:pPr>
        <w:spacing w:after="0" w:line="240" w:lineRule="auto"/>
        <w:rPr>
          <w:sz w:val="24"/>
          <w:szCs w:val="24"/>
        </w:rPr>
      </w:pPr>
      <w:r>
        <w:t xml:space="preserve">The Colorado Department of Education </w:t>
      </w:r>
      <w:r w:rsidR="007026BD">
        <w:t xml:space="preserve">(CDE) </w:t>
      </w:r>
      <w:r>
        <w:t xml:space="preserve">is committed to offering a range of supports to schools and </w:t>
      </w:r>
      <w:r w:rsidR="007C4F6B">
        <w:t>LEAs</w:t>
      </w:r>
      <w:r>
        <w:t xml:space="preserve"> that face </w:t>
      </w:r>
      <w:r w:rsidR="003A4702">
        <w:t xml:space="preserve">student </w:t>
      </w:r>
      <w:r>
        <w:t>performance challenges</w:t>
      </w:r>
      <w:r w:rsidR="00E23128">
        <w:t xml:space="preserve">. </w:t>
      </w:r>
      <w:r>
        <w:t xml:space="preserve">Schools may be identified through the emerging federal ESSA system </w:t>
      </w:r>
      <w:r w:rsidR="007026BD">
        <w:t>[</w:t>
      </w:r>
      <w:r>
        <w:t>i.e., Comprehensive Schools</w:t>
      </w:r>
      <w:r w:rsidR="007026BD">
        <w:t xml:space="preserve"> (CS) or</w:t>
      </w:r>
      <w:r>
        <w:t xml:space="preserve"> Targeted Schools</w:t>
      </w:r>
      <w:r w:rsidR="007026BD">
        <w:t xml:space="preserve"> (TS</w:t>
      </w:r>
      <w:r>
        <w:t>)</w:t>
      </w:r>
      <w:r w:rsidR="007026BD">
        <w:t>]</w:t>
      </w:r>
      <w:r>
        <w:t xml:space="preserve"> and/or through the existing state accountability system </w:t>
      </w:r>
      <w:r w:rsidR="007026BD">
        <w:t>[</w:t>
      </w:r>
      <w:r>
        <w:t>i.e., Priority Improvement</w:t>
      </w:r>
      <w:r w:rsidR="007026BD">
        <w:t xml:space="preserve"> (PI) or</w:t>
      </w:r>
      <w:r>
        <w:t xml:space="preserve"> Turnaround</w:t>
      </w:r>
      <w:r w:rsidR="007026BD">
        <w:t xml:space="preserve"> (T</w:t>
      </w:r>
      <w:r>
        <w:t>)</w:t>
      </w:r>
      <w:r w:rsidR="007026BD">
        <w:t>]</w:t>
      </w:r>
      <w:r w:rsidR="00E23128">
        <w:t xml:space="preserve">. </w:t>
      </w:r>
      <w:r>
        <w:t xml:space="preserve">Whereas many resources and supports are aimed at the school level, the Department seeks to engage collaboratively with </w:t>
      </w:r>
      <w:r w:rsidR="007C4F6B">
        <w:t>LEAs</w:t>
      </w:r>
      <w:r>
        <w:t>, charter authorizers, BOCES, and other regional entities to help build capacity for supporting school leaders, educators, communities, and local school boards.</w:t>
      </w:r>
    </w:p>
    <w:p w14:paraId="7F65A45C" w14:textId="77777777" w:rsidR="00693CB0" w:rsidRPr="00697CB0" w:rsidRDefault="00693CB0" w:rsidP="00692F2A">
      <w:pPr>
        <w:spacing w:after="0" w:line="240" w:lineRule="auto"/>
        <w:rPr>
          <w:szCs w:val="24"/>
        </w:rPr>
      </w:pPr>
    </w:p>
    <w:p w14:paraId="795F572D" w14:textId="4EC0D0ED" w:rsidR="00F64648" w:rsidRDefault="00581C12" w:rsidP="00692F2A">
      <w:pPr>
        <w:spacing w:after="0" w:line="240" w:lineRule="auto"/>
      </w:pPr>
      <w:r>
        <w:t>The state offers many different supports through multiple offices. This menu is intended specifically for schools identified under ESSA and/or the state acco</w:t>
      </w:r>
      <w:r w:rsidR="003A4702">
        <w:t>untability system. T</w:t>
      </w:r>
      <w:r>
        <w:t>he services that CDE offers will</w:t>
      </w:r>
      <w:r w:rsidR="003A4702">
        <w:t xml:space="preserve"> continue to</w:t>
      </w:r>
      <w:r>
        <w:t xml:space="preserve"> evolve in response to the needs of the field</w:t>
      </w:r>
      <w:r w:rsidR="00DF073E">
        <w:t xml:space="preserve">. It is CDE’s goal to provide flexibility to </w:t>
      </w:r>
      <w:r w:rsidR="007C4F6B">
        <w:t>LEAs</w:t>
      </w:r>
      <w:r w:rsidR="00DF073E">
        <w:t xml:space="preserve"> to leverage ESSA, state, and local funds to meet the unique needs of each </w:t>
      </w:r>
      <w:r w:rsidR="007C4F6B">
        <w:t>LEA</w:t>
      </w:r>
      <w:r w:rsidR="00DF073E">
        <w:t xml:space="preserve"> and identified school.</w:t>
      </w:r>
      <w:r w:rsidR="00697CB0">
        <w:t xml:space="preserve"> </w:t>
      </w:r>
      <w:r w:rsidR="00F64648">
        <w:t xml:space="preserve">Per ESSA, CDE shall allocate and distribute ESSA funds </w:t>
      </w:r>
      <w:r w:rsidR="007C4F6B">
        <w:t>to support schools identified for</w:t>
      </w:r>
      <w:r w:rsidR="00F64648">
        <w:t xml:space="preserve"> Comprehensive Support </w:t>
      </w:r>
      <w:r w:rsidR="007C4F6B">
        <w:t xml:space="preserve">(CS), </w:t>
      </w:r>
      <w:r w:rsidR="00DF073E">
        <w:t>Targeted Support (TS)</w:t>
      </w:r>
      <w:r w:rsidR="007C4F6B">
        <w:t>, and Additional Targeted Support</w:t>
      </w:r>
      <w:r w:rsidR="00DF073E">
        <w:t xml:space="preserve">. </w:t>
      </w:r>
      <w:r w:rsidR="00F64648">
        <w:t>Schools identified under the state accountability system but not under ESSA are not eligible to receive the ESSA school improvement funds</w:t>
      </w:r>
      <w:r w:rsidR="007C4F6B">
        <w:t xml:space="preserve"> but may apply to participate in services</w:t>
      </w:r>
      <w:r w:rsidR="00F64648">
        <w:t>.</w:t>
      </w:r>
    </w:p>
    <w:p w14:paraId="59A05FFE" w14:textId="77777777" w:rsidR="00692F2A" w:rsidRPr="00697CB0" w:rsidRDefault="00692F2A" w:rsidP="00692F2A">
      <w:pPr>
        <w:spacing w:after="0" w:line="240" w:lineRule="auto"/>
        <w:rPr>
          <w:szCs w:val="24"/>
        </w:rPr>
      </w:pPr>
    </w:p>
    <w:tbl>
      <w:tblPr>
        <w:tblStyle w:val="a"/>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Exloration Supports Table "/>
      </w:tblPr>
      <w:tblGrid>
        <w:gridCol w:w="1700"/>
        <w:gridCol w:w="4825"/>
        <w:gridCol w:w="1995"/>
        <w:gridCol w:w="1109"/>
        <w:gridCol w:w="1147"/>
      </w:tblGrid>
      <w:tr w:rsidR="00DF073E" w:rsidRPr="008C5AAE" w14:paraId="51657EAF" w14:textId="77777777" w:rsidTr="00873B63">
        <w:tc>
          <w:tcPr>
            <w:tcW w:w="10776" w:type="dxa"/>
            <w:gridSpan w:val="5"/>
            <w:shd w:val="clear" w:color="auto" w:fill="ED7D31" w:themeFill="accent2"/>
            <w:tcMar>
              <w:top w:w="100" w:type="dxa"/>
              <w:left w:w="100" w:type="dxa"/>
              <w:bottom w:w="100" w:type="dxa"/>
              <w:right w:w="100" w:type="dxa"/>
            </w:tcMar>
            <w:vAlign w:val="center"/>
          </w:tcPr>
          <w:p w14:paraId="788F7CD8" w14:textId="77777777" w:rsidR="00DF073E" w:rsidRPr="008C5AAE" w:rsidRDefault="00DF073E">
            <w:pPr>
              <w:spacing w:after="0" w:line="240" w:lineRule="auto"/>
              <w:jc w:val="center"/>
              <w:rPr>
                <w:b/>
                <w:color w:val="FFFFFF"/>
                <w:sz w:val="24"/>
                <w:szCs w:val="24"/>
              </w:rPr>
            </w:pPr>
            <w:r w:rsidRPr="008C5AAE">
              <w:rPr>
                <w:b/>
                <w:color w:val="FFFFFF"/>
                <w:sz w:val="24"/>
                <w:szCs w:val="24"/>
              </w:rPr>
              <w:t>EXPLORATION SUPPORTS</w:t>
            </w:r>
          </w:p>
          <w:p w14:paraId="33B5680D" w14:textId="77777777" w:rsidR="00DF073E" w:rsidRPr="008C5AAE" w:rsidRDefault="00DF073E" w:rsidP="00692F2A">
            <w:pPr>
              <w:pStyle w:val="NormalWeb"/>
              <w:spacing w:before="0" w:beforeAutospacing="0" w:after="0" w:afterAutospacing="0"/>
              <w:jc w:val="center"/>
              <w:rPr>
                <w:rFonts w:asciiTheme="minorHAnsi" w:hAnsiTheme="minorHAnsi" w:cstheme="minorHAnsi"/>
                <w:sz w:val="22"/>
                <w:szCs w:val="22"/>
              </w:rPr>
            </w:pPr>
            <w:r w:rsidRPr="008C5AAE">
              <w:rPr>
                <w:rFonts w:asciiTheme="minorHAnsi" w:hAnsiTheme="minorHAnsi" w:cstheme="minorHAnsi"/>
                <w:color w:val="FFFFFF"/>
                <w:sz w:val="22"/>
                <w:szCs w:val="22"/>
              </w:rPr>
              <w:t>These supports are intended to help districts and schools assess their needs, explore improvement options, and plan for next steps</w:t>
            </w:r>
            <w:r w:rsidR="00E23128" w:rsidRPr="008C5AAE">
              <w:rPr>
                <w:rFonts w:asciiTheme="minorHAnsi" w:hAnsiTheme="minorHAnsi" w:cstheme="minorHAnsi"/>
                <w:color w:val="FFFFFF"/>
                <w:sz w:val="22"/>
                <w:szCs w:val="22"/>
              </w:rPr>
              <w:t xml:space="preserve">. </w:t>
            </w:r>
            <w:r w:rsidRPr="008C5AAE">
              <w:rPr>
                <w:rFonts w:asciiTheme="minorHAnsi" w:hAnsiTheme="minorHAnsi" w:cstheme="minorHAnsi"/>
                <w:iCs/>
                <w:color w:val="FFFFFF"/>
                <w:sz w:val="22"/>
                <w:szCs w:val="22"/>
              </w:rPr>
              <w:t>These supports are for districts and schools that are not clear about what steps to take next.</w:t>
            </w:r>
          </w:p>
        </w:tc>
      </w:tr>
      <w:tr w:rsidR="00DF073E" w:rsidRPr="008C5AAE" w14:paraId="32985D35" w14:textId="77777777" w:rsidTr="00873B63">
        <w:tc>
          <w:tcPr>
            <w:tcW w:w="1700" w:type="dxa"/>
            <w:shd w:val="clear" w:color="auto" w:fill="FFF2CC" w:themeFill="accent4" w:themeFillTint="33"/>
            <w:tcMar>
              <w:top w:w="100" w:type="dxa"/>
              <w:left w:w="100" w:type="dxa"/>
              <w:bottom w:w="100" w:type="dxa"/>
              <w:right w:w="100" w:type="dxa"/>
            </w:tcMar>
            <w:vAlign w:val="center"/>
          </w:tcPr>
          <w:p w14:paraId="3DB9CFBF" w14:textId="77777777" w:rsidR="00DF073E" w:rsidRPr="008C5AAE" w:rsidRDefault="00DF073E">
            <w:pPr>
              <w:spacing w:after="0" w:line="240" w:lineRule="auto"/>
              <w:jc w:val="center"/>
              <w:rPr>
                <w:b/>
              </w:rPr>
            </w:pPr>
            <w:r w:rsidRPr="008C5AAE">
              <w:rPr>
                <w:b/>
              </w:rPr>
              <w:t>Support</w:t>
            </w:r>
          </w:p>
        </w:tc>
        <w:tc>
          <w:tcPr>
            <w:tcW w:w="4825" w:type="dxa"/>
            <w:shd w:val="clear" w:color="auto" w:fill="FFF2CC" w:themeFill="accent4" w:themeFillTint="33"/>
            <w:tcMar>
              <w:top w:w="100" w:type="dxa"/>
              <w:left w:w="100" w:type="dxa"/>
              <w:bottom w:w="100" w:type="dxa"/>
              <w:right w:w="100" w:type="dxa"/>
            </w:tcMar>
            <w:vAlign w:val="center"/>
          </w:tcPr>
          <w:p w14:paraId="1C63B9DD" w14:textId="77777777" w:rsidR="00DF073E" w:rsidRPr="008C5AAE" w:rsidRDefault="00DF073E">
            <w:pPr>
              <w:spacing w:after="0" w:line="240" w:lineRule="auto"/>
              <w:jc w:val="center"/>
              <w:rPr>
                <w:b/>
              </w:rPr>
            </w:pPr>
            <w:r w:rsidRPr="008C5AAE">
              <w:rPr>
                <w:b/>
              </w:rPr>
              <w:t>Description</w:t>
            </w:r>
          </w:p>
        </w:tc>
        <w:tc>
          <w:tcPr>
            <w:tcW w:w="1995" w:type="dxa"/>
            <w:shd w:val="clear" w:color="auto" w:fill="FFF2CC" w:themeFill="accent4" w:themeFillTint="33"/>
            <w:tcMar>
              <w:top w:w="100" w:type="dxa"/>
              <w:left w:w="100" w:type="dxa"/>
              <w:bottom w:w="100" w:type="dxa"/>
              <w:right w:w="100" w:type="dxa"/>
            </w:tcMar>
            <w:vAlign w:val="center"/>
          </w:tcPr>
          <w:p w14:paraId="38DE2735" w14:textId="77777777" w:rsidR="00DF073E" w:rsidRPr="008C5AAE" w:rsidRDefault="00DF073E">
            <w:pPr>
              <w:spacing w:after="0" w:line="240" w:lineRule="auto"/>
              <w:jc w:val="center"/>
              <w:rPr>
                <w:b/>
              </w:rPr>
            </w:pPr>
            <w:r w:rsidRPr="008C5AAE">
              <w:rPr>
                <w:b/>
              </w:rPr>
              <w:t>Eligibility*</w:t>
            </w:r>
          </w:p>
        </w:tc>
        <w:tc>
          <w:tcPr>
            <w:tcW w:w="1109" w:type="dxa"/>
            <w:shd w:val="clear" w:color="auto" w:fill="FFF2CC" w:themeFill="accent4" w:themeFillTint="33"/>
            <w:tcMar>
              <w:top w:w="100" w:type="dxa"/>
              <w:left w:w="100" w:type="dxa"/>
              <w:bottom w:w="100" w:type="dxa"/>
              <w:right w:w="100" w:type="dxa"/>
            </w:tcMar>
            <w:vAlign w:val="center"/>
          </w:tcPr>
          <w:p w14:paraId="3D92E084" w14:textId="77777777" w:rsidR="00DF073E" w:rsidRPr="008C5AAE" w:rsidRDefault="00DF073E" w:rsidP="00692F2A">
            <w:pPr>
              <w:spacing w:after="0" w:line="240" w:lineRule="auto"/>
              <w:jc w:val="center"/>
              <w:rPr>
                <w:b/>
              </w:rPr>
            </w:pPr>
            <w:r w:rsidRPr="008C5AAE">
              <w:rPr>
                <w:b/>
              </w:rPr>
              <w:t>Duration</w:t>
            </w:r>
          </w:p>
        </w:tc>
        <w:tc>
          <w:tcPr>
            <w:tcW w:w="1147" w:type="dxa"/>
            <w:shd w:val="clear" w:color="auto" w:fill="FFF2CC" w:themeFill="accent4" w:themeFillTint="33"/>
            <w:tcMar>
              <w:top w:w="100" w:type="dxa"/>
              <w:left w:w="100" w:type="dxa"/>
              <w:bottom w:w="100" w:type="dxa"/>
              <w:right w:w="100" w:type="dxa"/>
            </w:tcMar>
            <w:vAlign w:val="center"/>
          </w:tcPr>
          <w:p w14:paraId="67261963" w14:textId="77777777" w:rsidR="00DF073E" w:rsidRDefault="00C57ED2" w:rsidP="00692F2A">
            <w:pPr>
              <w:spacing w:after="0" w:line="240" w:lineRule="auto"/>
              <w:jc w:val="center"/>
              <w:rPr>
                <w:b/>
              </w:rPr>
            </w:pPr>
            <w:r>
              <w:rPr>
                <w:b/>
              </w:rPr>
              <w:t>Funds Available</w:t>
            </w:r>
          </w:p>
          <w:p w14:paraId="46BBEDA3" w14:textId="3BA8E71F" w:rsidR="007C4F6B" w:rsidRPr="008C5AAE" w:rsidRDefault="007C4F6B" w:rsidP="00692F2A">
            <w:pPr>
              <w:spacing w:after="0" w:line="240" w:lineRule="auto"/>
              <w:jc w:val="center"/>
              <w:rPr>
                <w:b/>
              </w:rPr>
            </w:pPr>
            <w:r>
              <w:rPr>
                <w:b/>
              </w:rPr>
              <w:t>**</w:t>
            </w:r>
          </w:p>
        </w:tc>
      </w:tr>
      <w:tr w:rsidR="00DF073E" w:rsidRPr="008C5AAE" w14:paraId="52073172" w14:textId="77777777" w:rsidTr="00873B63">
        <w:tc>
          <w:tcPr>
            <w:tcW w:w="1700" w:type="dxa"/>
            <w:shd w:val="clear" w:color="auto" w:fill="FFF2CC" w:themeFill="accent4" w:themeFillTint="33"/>
            <w:tcMar>
              <w:top w:w="100" w:type="dxa"/>
              <w:left w:w="100" w:type="dxa"/>
              <w:bottom w:w="100" w:type="dxa"/>
              <w:right w:w="100" w:type="dxa"/>
            </w:tcMar>
            <w:vAlign w:val="center"/>
          </w:tcPr>
          <w:p w14:paraId="1A3C8FAD" w14:textId="497417A7" w:rsidR="00DF073E" w:rsidRPr="005F52CF" w:rsidRDefault="00873B63">
            <w:pPr>
              <w:spacing w:after="0" w:line="240" w:lineRule="auto"/>
              <w:rPr>
                <w:b/>
              </w:rPr>
            </w:pPr>
            <w:hyperlink r:id="rId8" w:history="1">
              <w:r w:rsidR="00DF073E" w:rsidRPr="00A15CC2">
                <w:rPr>
                  <w:rStyle w:val="Hyperlink"/>
                  <w:b/>
                </w:rPr>
                <w:t>Diagnostic Reviews and Planning</w:t>
              </w:r>
            </w:hyperlink>
          </w:p>
        </w:tc>
        <w:tc>
          <w:tcPr>
            <w:tcW w:w="4825" w:type="dxa"/>
            <w:tcMar>
              <w:top w:w="100" w:type="dxa"/>
              <w:left w:w="100" w:type="dxa"/>
              <w:bottom w:w="100" w:type="dxa"/>
              <w:right w:w="100" w:type="dxa"/>
            </w:tcMar>
          </w:tcPr>
          <w:p w14:paraId="20609606" w14:textId="598627DF" w:rsidR="00DF073E" w:rsidRPr="001337B1" w:rsidRDefault="001337B1" w:rsidP="00697CB0">
            <w:pPr>
              <w:spacing w:after="0" w:line="240" w:lineRule="auto"/>
              <w:rPr>
                <w:sz w:val="20"/>
                <w:szCs w:val="20"/>
              </w:rPr>
            </w:pPr>
            <w:r w:rsidRPr="001337B1">
              <w:rPr>
                <w:rFonts w:eastAsiaTheme="minorHAnsi"/>
                <w:sz w:val="20"/>
                <w:szCs w:val="20"/>
              </w:rPr>
              <w:t>The Diagnostic Review and Improvement Planning Grant is ideal for schools that are not sure of how to prioritize improvement efforts or that need time to explore options. LEAs are awarded funds on behalf of their schools to work with a CDE-trained partner to conduct a school-based diagnostic review process and/or a facilitated improvement planning process. Reviews result in a diagnostic report and recommended improvement actions. The facilitated improvement planning process is designed to assist the school in refining the Unified Improvement Plan (UIP) to build upon the diagnostic review recommendations</w:t>
            </w:r>
            <w:r>
              <w:rPr>
                <w:rFonts w:eastAsiaTheme="minorHAnsi"/>
                <w:sz w:val="20"/>
                <w:szCs w:val="20"/>
              </w:rPr>
              <w:t>.</w:t>
            </w:r>
          </w:p>
          <w:p w14:paraId="3468242B" w14:textId="3BE42556" w:rsidR="00C57ED2" w:rsidRPr="001337B1" w:rsidRDefault="00C57ED2" w:rsidP="00724BB6">
            <w:pPr>
              <w:spacing w:after="0" w:line="240" w:lineRule="auto"/>
              <w:rPr>
                <w:i/>
                <w:sz w:val="20"/>
                <w:szCs w:val="20"/>
              </w:rPr>
            </w:pPr>
            <w:r w:rsidRPr="001337B1">
              <w:rPr>
                <w:i/>
                <w:sz w:val="20"/>
                <w:szCs w:val="20"/>
              </w:rPr>
              <w:t xml:space="preserve">Provided through the CDE Federal Programs </w:t>
            </w:r>
            <w:r w:rsidR="00724BB6">
              <w:rPr>
                <w:i/>
                <w:sz w:val="20"/>
                <w:szCs w:val="20"/>
              </w:rPr>
              <w:t>and Improvement Planning offices.</w:t>
            </w:r>
          </w:p>
        </w:tc>
        <w:tc>
          <w:tcPr>
            <w:tcW w:w="1995" w:type="dxa"/>
            <w:tcMar>
              <w:top w:w="100" w:type="dxa"/>
              <w:left w:w="100" w:type="dxa"/>
              <w:bottom w:w="100" w:type="dxa"/>
              <w:right w:w="100" w:type="dxa"/>
            </w:tcMar>
          </w:tcPr>
          <w:p w14:paraId="1A40641C" w14:textId="43BC35BA" w:rsidR="00DF073E" w:rsidRPr="008C5AAE" w:rsidRDefault="001337B1" w:rsidP="001337B1">
            <w:pPr>
              <w:spacing w:after="0" w:line="240" w:lineRule="auto"/>
              <w:rPr>
                <w:sz w:val="20"/>
                <w:szCs w:val="20"/>
              </w:rPr>
            </w:pPr>
            <w:r>
              <w:rPr>
                <w:sz w:val="20"/>
                <w:szCs w:val="20"/>
              </w:rPr>
              <w:t xml:space="preserve">LEAs with schools identified </w:t>
            </w:r>
            <w:r w:rsidR="00EA6DC7">
              <w:rPr>
                <w:sz w:val="20"/>
                <w:szCs w:val="20"/>
              </w:rPr>
              <w:t>for</w:t>
            </w:r>
            <w:r>
              <w:rPr>
                <w:sz w:val="20"/>
                <w:szCs w:val="20"/>
              </w:rPr>
              <w:t xml:space="preserve"> CS, </w:t>
            </w:r>
            <w:r w:rsidR="00DF073E" w:rsidRPr="008C5AAE">
              <w:rPr>
                <w:sz w:val="20"/>
                <w:szCs w:val="20"/>
              </w:rPr>
              <w:t>TS</w:t>
            </w:r>
            <w:r w:rsidR="00DF251A">
              <w:rPr>
                <w:sz w:val="20"/>
                <w:szCs w:val="20"/>
              </w:rPr>
              <w:t xml:space="preserve"> or Additional TS</w:t>
            </w:r>
          </w:p>
        </w:tc>
        <w:tc>
          <w:tcPr>
            <w:tcW w:w="1109" w:type="dxa"/>
            <w:tcMar>
              <w:top w:w="100" w:type="dxa"/>
              <w:left w:w="100" w:type="dxa"/>
              <w:bottom w:w="100" w:type="dxa"/>
              <w:right w:w="100" w:type="dxa"/>
            </w:tcMar>
          </w:tcPr>
          <w:p w14:paraId="334D3B86" w14:textId="4B131CEB" w:rsidR="00DF073E" w:rsidRPr="008C5AAE" w:rsidRDefault="00724BB6" w:rsidP="00692F2A">
            <w:pPr>
              <w:spacing w:after="0" w:line="240" w:lineRule="auto"/>
              <w:jc w:val="center"/>
              <w:rPr>
                <w:sz w:val="20"/>
                <w:szCs w:val="20"/>
              </w:rPr>
            </w:pPr>
            <w:r>
              <w:rPr>
                <w:sz w:val="20"/>
                <w:szCs w:val="20"/>
              </w:rPr>
              <w:t>1 year</w:t>
            </w:r>
          </w:p>
        </w:tc>
        <w:tc>
          <w:tcPr>
            <w:tcW w:w="1147" w:type="dxa"/>
            <w:tcMar>
              <w:top w:w="100" w:type="dxa"/>
              <w:left w:w="100" w:type="dxa"/>
              <w:bottom w:w="100" w:type="dxa"/>
              <w:right w:w="100" w:type="dxa"/>
            </w:tcMar>
          </w:tcPr>
          <w:p w14:paraId="34F143BF" w14:textId="77777777" w:rsidR="00DF073E" w:rsidRDefault="00DF073E" w:rsidP="00692F2A">
            <w:pPr>
              <w:spacing w:after="0" w:line="240" w:lineRule="auto"/>
              <w:jc w:val="center"/>
              <w:rPr>
                <w:sz w:val="20"/>
                <w:szCs w:val="20"/>
              </w:rPr>
            </w:pPr>
            <w:r w:rsidRPr="008C5AAE">
              <w:rPr>
                <w:sz w:val="20"/>
                <w:szCs w:val="20"/>
              </w:rPr>
              <w:t>Up to $50,000 for both activities or $30,000 for  planning only</w:t>
            </w:r>
          </w:p>
          <w:p w14:paraId="26C0B57A" w14:textId="77777777" w:rsidR="00C57ED2" w:rsidRPr="00C57ED2" w:rsidRDefault="00C57ED2" w:rsidP="00692F2A">
            <w:pPr>
              <w:spacing w:after="0" w:line="240" w:lineRule="auto"/>
              <w:jc w:val="center"/>
              <w:rPr>
                <w:sz w:val="18"/>
                <w:szCs w:val="20"/>
              </w:rPr>
            </w:pPr>
          </w:p>
          <w:p w14:paraId="49FEE0E9" w14:textId="77777777" w:rsidR="00C57ED2" w:rsidRPr="008C5AAE" w:rsidRDefault="00C57ED2" w:rsidP="00692F2A">
            <w:pPr>
              <w:spacing w:after="0" w:line="240" w:lineRule="auto"/>
              <w:jc w:val="center"/>
              <w:rPr>
                <w:sz w:val="20"/>
                <w:szCs w:val="20"/>
              </w:rPr>
            </w:pPr>
            <w:r w:rsidRPr="00C57ED2">
              <w:rPr>
                <w:sz w:val="18"/>
                <w:szCs w:val="20"/>
              </w:rPr>
              <w:t>Federal funds</w:t>
            </w:r>
          </w:p>
        </w:tc>
      </w:tr>
      <w:tr w:rsidR="00DF073E" w:rsidRPr="008C5AAE" w14:paraId="2BE9DCF6" w14:textId="77777777" w:rsidTr="00873B63">
        <w:tc>
          <w:tcPr>
            <w:tcW w:w="1700" w:type="dxa"/>
            <w:tcBorders>
              <w:bottom w:val="single" w:sz="4" w:space="0" w:color="auto"/>
            </w:tcBorders>
            <w:shd w:val="clear" w:color="auto" w:fill="FFF2CC" w:themeFill="accent4" w:themeFillTint="33"/>
            <w:tcMar>
              <w:top w:w="100" w:type="dxa"/>
              <w:left w:w="100" w:type="dxa"/>
              <w:bottom w:w="100" w:type="dxa"/>
              <w:right w:w="100" w:type="dxa"/>
            </w:tcMar>
            <w:vAlign w:val="center"/>
          </w:tcPr>
          <w:p w14:paraId="7900C458" w14:textId="335643D6" w:rsidR="00DF073E" w:rsidRPr="005F52CF" w:rsidRDefault="00873B63">
            <w:pPr>
              <w:spacing w:after="0" w:line="240" w:lineRule="auto"/>
              <w:rPr>
                <w:b/>
              </w:rPr>
            </w:pPr>
            <w:hyperlink r:id="rId9" w:history="1">
              <w:r w:rsidR="00DF073E" w:rsidRPr="00A15CC2">
                <w:rPr>
                  <w:rStyle w:val="Hyperlink"/>
                  <w:b/>
                </w:rPr>
                <w:t>Accountability Pathway Planning</w:t>
              </w:r>
            </w:hyperlink>
          </w:p>
        </w:tc>
        <w:tc>
          <w:tcPr>
            <w:tcW w:w="4825" w:type="dxa"/>
            <w:tcBorders>
              <w:bottom w:val="single" w:sz="4" w:space="0" w:color="auto"/>
            </w:tcBorders>
            <w:tcMar>
              <w:top w:w="100" w:type="dxa"/>
              <w:left w:w="100" w:type="dxa"/>
              <w:bottom w:w="100" w:type="dxa"/>
              <w:right w:w="100" w:type="dxa"/>
            </w:tcMar>
          </w:tcPr>
          <w:p w14:paraId="2D794D52" w14:textId="77777777" w:rsidR="00DF073E" w:rsidRPr="001337B1" w:rsidRDefault="001337B1" w:rsidP="00B54D24">
            <w:pPr>
              <w:spacing w:after="0" w:line="240" w:lineRule="auto"/>
              <w:rPr>
                <w:sz w:val="20"/>
                <w:szCs w:val="20"/>
              </w:rPr>
            </w:pPr>
            <w:r w:rsidRPr="001337B1">
              <w:rPr>
                <w:rFonts w:eastAsiaTheme="minorHAnsi"/>
                <w:sz w:val="20"/>
                <w:szCs w:val="20"/>
              </w:rPr>
              <w:t>This grant is intended to incentiv</w:t>
            </w:r>
            <w:r>
              <w:rPr>
                <w:rFonts w:eastAsiaTheme="minorHAnsi"/>
                <w:sz w:val="20"/>
                <w:szCs w:val="20"/>
              </w:rPr>
              <w:t>ize LEAs</w:t>
            </w:r>
            <w:r w:rsidRPr="001337B1">
              <w:rPr>
                <w:rFonts w:eastAsiaTheme="minorHAnsi"/>
                <w:sz w:val="20"/>
                <w:szCs w:val="20"/>
              </w:rPr>
              <w:t xml:space="preserve"> and schools nearing the end of the Accountability Clock to explore pathway options </w:t>
            </w:r>
            <w:r w:rsidRPr="001337B1">
              <w:rPr>
                <w:sz w:val="20"/>
                <w:szCs w:val="20"/>
              </w:rPr>
              <w:t>(innovation status, management, charter conversion, closure, district reorganization)</w:t>
            </w:r>
            <w:r>
              <w:rPr>
                <w:sz w:val="20"/>
                <w:szCs w:val="20"/>
              </w:rPr>
              <w:t xml:space="preserve"> and to</w:t>
            </w:r>
            <w:r w:rsidR="00DF251A">
              <w:rPr>
                <w:rFonts w:eastAsiaTheme="minorHAnsi"/>
                <w:sz w:val="20"/>
                <w:szCs w:val="20"/>
              </w:rPr>
              <w:t xml:space="preserve"> take thoughtful action,</w:t>
            </w:r>
            <w:r w:rsidRPr="001337B1">
              <w:rPr>
                <w:rFonts w:eastAsiaTheme="minorHAnsi"/>
                <w:sz w:val="20"/>
                <w:szCs w:val="20"/>
              </w:rPr>
              <w:t xml:space="preserve"> </w:t>
            </w:r>
            <w:r w:rsidR="00DF251A">
              <w:rPr>
                <w:rFonts w:eastAsiaTheme="minorHAnsi"/>
                <w:sz w:val="20"/>
                <w:szCs w:val="20"/>
              </w:rPr>
              <w:t xml:space="preserve">to </w:t>
            </w:r>
            <w:r w:rsidRPr="001337B1">
              <w:rPr>
                <w:rFonts w:eastAsiaTheme="minorHAnsi"/>
                <w:sz w:val="20"/>
                <w:szCs w:val="20"/>
              </w:rPr>
              <w:t>increase readiness for discussions with the State Board of Education</w:t>
            </w:r>
            <w:r w:rsidR="00DF251A">
              <w:rPr>
                <w:rFonts w:eastAsiaTheme="minorHAnsi"/>
                <w:sz w:val="20"/>
                <w:szCs w:val="20"/>
              </w:rPr>
              <w:t>, and to see significant improvements</w:t>
            </w:r>
            <w:r w:rsidR="00DF073E" w:rsidRPr="001337B1">
              <w:rPr>
                <w:sz w:val="20"/>
                <w:szCs w:val="20"/>
              </w:rPr>
              <w:t>.</w:t>
            </w:r>
          </w:p>
          <w:p w14:paraId="21980541" w14:textId="77777777" w:rsidR="00B174F9" w:rsidRPr="001337B1" w:rsidRDefault="00B174F9" w:rsidP="00B174F9">
            <w:pPr>
              <w:spacing w:after="0" w:line="240" w:lineRule="auto"/>
              <w:rPr>
                <w:sz w:val="20"/>
                <w:szCs w:val="20"/>
              </w:rPr>
            </w:pPr>
            <w:r w:rsidRPr="001337B1">
              <w:rPr>
                <w:i/>
                <w:sz w:val="20"/>
                <w:szCs w:val="20"/>
              </w:rPr>
              <w:t>Provided through the CDE Accountability office.</w:t>
            </w:r>
          </w:p>
        </w:tc>
        <w:tc>
          <w:tcPr>
            <w:tcW w:w="1995" w:type="dxa"/>
            <w:tcBorders>
              <w:bottom w:val="single" w:sz="4" w:space="0" w:color="auto"/>
            </w:tcBorders>
            <w:tcMar>
              <w:top w:w="100" w:type="dxa"/>
              <w:left w:w="100" w:type="dxa"/>
              <w:bottom w:w="100" w:type="dxa"/>
              <w:right w:w="100" w:type="dxa"/>
            </w:tcMar>
          </w:tcPr>
          <w:p w14:paraId="600E4682" w14:textId="77777777" w:rsidR="00DF251A" w:rsidRPr="00DF251A" w:rsidRDefault="00DF251A" w:rsidP="00DF251A">
            <w:pPr>
              <w:suppressAutoHyphens/>
              <w:autoSpaceDE w:val="0"/>
              <w:autoSpaceDN w:val="0"/>
              <w:adjustRightInd w:val="0"/>
              <w:textAlignment w:val="center"/>
              <w:rPr>
                <w:rFonts w:eastAsiaTheme="minorHAnsi"/>
                <w:sz w:val="20"/>
                <w:szCs w:val="20"/>
              </w:rPr>
            </w:pPr>
            <w:r w:rsidRPr="00DF251A">
              <w:rPr>
                <w:rFonts w:eastAsiaTheme="minorHAnsi"/>
                <w:sz w:val="20"/>
                <w:szCs w:val="20"/>
              </w:rPr>
              <w:t>LEAs with:</w:t>
            </w:r>
          </w:p>
          <w:p w14:paraId="1EB3D666" w14:textId="77777777" w:rsidR="00DF251A" w:rsidRDefault="00DF251A" w:rsidP="00DF25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10" w:hanging="180"/>
              <w:contextualSpacing w:val="0"/>
              <w:rPr>
                <w:sz w:val="20"/>
                <w:szCs w:val="20"/>
              </w:rPr>
            </w:pPr>
            <w:r w:rsidRPr="00DF251A">
              <w:rPr>
                <w:sz w:val="20"/>
                <w:szCs w:val="20"/>
              </w:rPr>
              <w:t>A school</w:t>
            </w:r>
            <w:r>
              <w:rPr>
                <w:sz w:val="20"/>
                <w:szCs w:val="20"/>
              </w:rPr>
              <w:t xml:space="preserve"> in y</w:t>
            </w:r>
            <w:r w:rsidRPr="00DF251A">
              <w:rPr>
                <w:sz w:val="20"/>
                <w:szCs w:val="20"/>
              </w:rPr>
              <w:t>ear 3, 4 or 5 of P</w:t>
            </w:r>
            <w:r>
              <w:rPr>
                <w:sz w:val="20"/>
                <w:szCs w:val="20"/>
              </w:rPr>
              <w:t>I</w:t>
            </w:r>
            <w:r w:rsidRPr="00DF251A">
              <w:rPr>
                <w:sz w:val="20"/>
                <w:szCs w:val="20"/>
              </w:rPr>
              <w:t xml:space="preserve"> or T</w:t>
            </w:r>
            <w:r>
              <w:rPr>
                <w:sz w:val="20"/>
                <w:szCs w:val="20"/>
              </w:rPr>
              <w:t xml:space="preserve"> AND</w:t>
            </w:r>
            <w:r w:rsidRPr="00DF251A">
              <w:rPr>
                <w:sz w:val="20"/>
                <w:szCs w:val="20"/>
              </w:rPr>
              <w:t xml:space="preserve"> identified as CS </w:t>
            </w:r>
            <w:r>
              <w:rPr>
                <w:sz w:val="20"/>
                <w:szCs w:val="20"/>
              </w:rPr>
              <w:t>or TS</w:t>
            </w:r>
          </w:p>
          <w:p w14:paraId="7434D37B" w14:textId="2E4D81F6" w:rsidR="00DF073E" w:rsidRPr="00DF251A" w:rsidRDefault="00EA6DC7" w:rsidP="00DF25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10" w:hanging="180"/>
              <w:contextualSpacing w:val="0"/>
              <w:rPr>
                <w:sz w:val="20"/>
                <w:szCs w:val="20"/>
              </w:rPr>
            </w:pPr>
            <w:r>
              <w:rPr>
                <w:sz w:val="20"/>
                <w:szCs w:val="20"/>
              </w:rPr>
              <w:t>An LEA</w:t>
            </w:r>
            <w:r w:rsidR="00DF251A" w:rsidRPr="00DF251A">
              <w:rPr>
                <w:sz w:val="20"/>
                <w:szCs w:val="20"/>
              </w:rPr>
              <w:t xml:space="preserve"> </w:t>
            </w:r>
            <w:r w:rsidR="00DF251A">
              <w:rPr>
                <w:sz w:val="20"/>
                <w:szCs w:val="20"/>
              </w:rPr>
              <w:t>in y</w:t>
            </w:r>
            <w:r w:rsidR="00DF251A" w:rsidRPr="00DF251A">
              <w:rPr>
                <w:sz w:val="20"/>
                <w:szCs w:val="20"/>
              </w:rPr>
              <w:t>ear 3, 4 or 5 of P</w:t>
            </w:r>
            <w:r w:rsidR="00DF251A">
              <w:rPr>
                <w:sz w:val="20"/>
                <w:szCs w:val="20"/>
              </w:rPr>
              <w:t xml:space="preserve">I or T </w:t>
            </w:r>
            <w:r w:rsidR="00DF251A" w:rsidRPr="00DF251A">
              <w:rPr>
                <w:sz w:val="20"/>
                <w:szCs w:val="20"/>
              </w:rPr>
              <w:t>AND</w:t>
            </w:r>
            <w:r w:rsidR="00DF251A">
              <w:rPr>
                <w:sz w:val="20"/>
                <w:szCs w:val="20"/>
              </w:rPr>
              <w:t xml:space="preserve"> has schools identified</w:t>
            </w:r>
            <w:r>
              <w:rPr>
                <w:sz w:val="20"/>
                <w:szCs w:val="20"/>
              </w:rPr>
              <w:t xml:space="preserve"> for</w:t>
            </w:r>
            <w:r w:rsidR="00DF251A">
              <w:rPr>
                <w:sz w:val="20"/>
                <w:szCs w:val="20"/>
              </w:rPr>
              <w:t xml:space="preserve"> CS/TS</w:t>
            </w:r>
          </w:p>
        </w:tc>
        <w:tc>
          <w:tcPr>
            <w:tcW w:w="1109" w:type="dxa"/>
            <w:tcBorders>
              <w:bottom w:val="single" w:sz="4" w:space="0" w:color="auto"/>
            </w:tcBorders>
            <w:tcMar>
              <w:top w:w="100" w:type="dxa"/>
              <w:left w:w="100" w:type="dxa"/>
              <w:bottom w:w="100" w:type="dxa"/>
              <w:right w:w="100" w:type="dxa"/>
            </w:tcMar>
          </w:tcPr>
          <w:p w14:paraId="29A1FA04" w14:textId="77777777" w:rsidR="00DF073E" w:rsidRPr="008C5AAE" w:rsidRDefault="00DF073E" w:rsidP="00692F2A">
            <w:pPr>
              <w:spacing w:after="0" w:line="240" w:lineRule="auto"/>
              <w:jc w:val="center"/>
              <w:rPr>
                <w:sz w:val="20"/>
                <w:szCs w:val="20"/>
              </w:rPr>
            </w:pPr>
            <w:r w:rsidRPr="008C5AAE">
              <w:rPr>
                <w:sz w:val="20"/>
                <w:szCs w:val="20"/>
              </w:rPr>
              <w:t>1 year</w:t>
            </w:r>
          </w:p>
        </w:tc>
        <w:tc>
          <w:tcPr>
            <w:tcW w:w="1147" w:type="dxa"/>
            <w:tcBorders>
              <w:bottom w:val="single" w:sz="4" w:space="0" w:color="auto"/>
            </w:tcBorders>
            <w:tcMar>
              <w:top w:w="100" w:type="dxa"/>
              <w:left w:w="100" w:type="dxa"/>
              <w:bottom w:w="100" w:type="dxa"/>
              <w:right w:w="100" w:type="dxa"/>
            </w:tcMar>
          </w:tcPr>
          <w:p w14:paraId="46012752" w14:textId="6E7F7B2D" w:rsidR="00C57ED2" w:rsidRDefault="00EA6DC7" w:rsidP="00C57ED2">
            <w:pPr>
              <w:spacing w:after="0" w:line="240" w:lineRule="auto"/>
              <w:jc w:val="center"/>
              <w:rPr>
                <w:sz w:val="20"/>
                <w:szCs w:val="20"/>
              </w:rPr>
            </w:pPr>
            <w:r>
              <w:rPr>
                <w:sz w:val="20"/>
                <w:szCs w:val="20"/>
              </w:rPr>
              <w:t xml:space="preserve">Range from </w:t>
            </w:r>
            <w:r w:rsidR="00DF073E" w:rsidRPr="008C5AAE">
              <w:rPr>
                <w:sz w:val="20"/>
                <w:szCs w:val="20"/>
              </w:rPr>
              <w:t xml:space="preserve">$30,000 </w:t>
            </w:r>
            <w:r>
              <w:rPr>
                <w:sz w:val="20"/>
                <w:szCs w:val="20"/>
              </w:rPr>
              <w:t>for single</w:t>
            </w:r>
            <w:r w:rsidR="00DF073E" w:rsidRPr="008C5AAE">
              <w:rPr>
                <w:sz w:val="20"/>
                <w:szCs w:val="20"/>
              </w:rPr>
              <w:t xml:space="preserve"> school</w:t>
            </w:r>
            <w:r w:rsidR="00C57ED2">
              <w:rPr>
                <w:sz w:val="20"/>
                <w:szCs w:val="20"/>
              </w:rPr>
              <w:t xml:space="preserve"> </w:t>
            </w:r>
            <w:r>
              <w:rPr>
                <w:sz w:val="20"/>
                <w:szCs w:val="20"/>
              </w:rPr>
              <w:t>to $100,000 for LEAs</w:t>
            </w:r>
          </w:p>
          <w:p w14:paraId="354E53A6" w14:textId="77777777" w:rsidR="00C57ED2" w:rsidRPr="00C57ED2" w:rsidRDefault="00C57ED2" w:rsidP="00C57ED2">
            <w:pPr>
              <w:spacing w:after="0" w:line="240" w:lineRule="auto"/>
              <w:jc w:val="center"/>
              <w:rPr>
                <w:sz w:val="18"/>
                <w:szCs w:val="20"/>
              </w:rPr>
            </w:pPr>
          </w:p>
          <w:p w14:paraId="18EBDF7F" w14:textId="77777777" w:rsidR="00DF073E" w:rsidRPr="008C5AAE" w:rsidRDefault="00C57ED2" w:rsidP="00C57ED2">
            <w:pPr>
              <w:spacing w:after="0" w:line="240" w:lineRule="auto"/>
              <w:jc w:val="center"/>
              <w:rPr>
                <w:sz w:val="20"/>
                <w:szCs w:val="20"/>
              </w:rPr>
            </w:pPr>
            <w:r w:rsidRPr="00C57ED2">
              <w:rPr>
                <w:sz w:val="18"/>
                <w:szCs w:val="20"/>
              </w:rPr>
              <w:t>Federal funds</w:t>
            </w:r>
          </w:p>
        </w:tc>
      </w:tr>
      <w:tr w:rsidR="00332AFC" w:rsidRPr="008C5AAE" w14:paraId="493BD524" w14:textId="77777777" w:rsidTr="00873B63">
        <w:tc>
          <w:tcPr>
            <w:tcW w:w="1700" w:type="dxa"/>
            <w:tcBorders>
              <w:bottom w:val="single" w:sz="4" w:space="0" w:color="auto"/>
            </w:tcBorders>
            <w:shd w:val="clear" w:color="auto" w:fill="FFF2CC" w:themeFill="accent4" w:themeFillTint="33"/>
            <w:tcMar>
              <w:top w:w="100" w:type="dxa"/>
              <w:left w:w="100" w:type="dxa"/>
              <w:bottom w:w="100" w:type="dxa"/>
              <w:right w:w="100" w:type="dxa"/>
            </w:tcMar>
            <w:vAlign w:val="center"/>
          </w:tcPr>
          <w:p w14:paraId="45CE8A54" w14:textId="01DAD2AD" w:rsidR="00332AFC" w:rsidRPr="005F52CF" w:rsidRDefault="00873B63">
            <w:pPr>
              <w:spacing w:after="0" w:line="240" w:lineRule="auto"/>
              <w:rPr>
                <w:b/>
              </w:rPr>
            </w:pPr>
            <w:hyperlink r:id="rId10" w:history="1">
              <w:r w:rsidR="00332AFC" w:rsidRPr="00A15CC2">
                <w:rPr>
                  <w:rStyle w:val="Hyperlink"/>
                  <w:b/>
                </w:rPr>
                <w:t>Stakeholder and Community Engagement Planning</w:t>
              </w:r>
            </w:hyperlink>
          </w:p>
        </w:tc>
        <w:tc>
          <w:tcPr>
            <w:tcW w:w="4825" w:type="dxa"/>
            <w:tcBorders>
              <w:bottom w:val="single" w:sz="4" w:space="0" w:color="auto"/>
            </w:tcBorders>
            <w:tcMar>
              <w:top w:w="100" w:type="dxa"/>
              <w:left w:w="100" w:type="dxa"/>
              <w:bottom w:w="100" w:type="dxa"/>
              <w:right w:w="100" w:type="dxa"/>
            </w:tcMar>
          </w:tcPr>
          <w:p w14:paraId="13E981B5" w14:textId="27265AE4" w:rsidR="00EA6DC7" w:rsidRPr="00F34BDB" w:rsidRDefault="00EA6DC7" w:rsidP="00B174F9">
            <w:pPr>
              <w:spacing w:after="0" w:line="240" w:lineRule="auto"/>
              <w:rPr>
                <w:sz w:val="20"/>
                <w:szCs w:val="20"/>
              </w:rPr>
            </w:pPr>
            <w:r>
              <w:rPr>
                <w:sz w:val="20"/>
                <w:szCs w:val="20"/>
              </w:rPr>
              <w:t>This</w:t>
            </w:r>
            <w:r w:rsidRPr="00EA6DC7">
              <w:rPr>
                <w:sz w:val="20"/>
                <w:szCs w:val="20"/>
              </w:rPr>
              <w:t xml:space="preserve"> grant offers LEA</w:t>
            </w:r>
            <w:r w:rsidR="00F34BDB">
              <w:rPr>
                <w:sz w:val="20"/>
                <w:szCs w:val="20"/>
              </w:rPr>
              <w:t>s</w:t>
            </w:r>
            <w:r w:rsidRPr="00EA6DC7">
              <w:rPr>
                <w:sz w:val="20"/>
                <w:szCs w:val="20"/>
              </w:rPr>
              <w:t xml:space="preserve"> and schools the opportunity to invest in engaging stakeholders more deeply within the planning phase.</w:t>
            </w:r>
          </w:p>
          <w:p w14:paraId="1F9DA4DD" w14:textId="77777777" w:rsidR="00332AFC" w:rsidRPr="008C5AAE" w:rsidRDefault="00B174F9" w:rsidP="00B174F9">
            <w:pPr>
              <w:spacing w:after="0" w:line="240" w:lineRule="auto"/>
              <w:rPr>
                <w:sz w:val="20"/>
                <w:szCs w:val="20"/>
              </w:rPr>
            </w:pPr>
            <w:r w:rsidRPr="00C57ED2">
              <w:rPr>
                <w:i/>
                <w:sz w:val="20"/>
                <w:szCs w:val="20"/>
              </w:rPr>
              <w:t xml:space="preserve">Provided through the CDE </w:t>
            </w:r>
            <w:r>
              <w:rPr>
                <w:i/>
                <w:sz w:val="20"/>
                <w:szCs w:val="20"/>
              </w:rPr>
              <w:t>Improvement Planning</w:t>
            </w:r>
            <w:r w:rsidRPr="00C57ED2">
              <w:rPr>
                <w:i/>
                <w:sz w:val="20"/>
                <w:szCs w:val="20"/>
              </w:rPr>
              <w:t xml:space="preserve"> office.</w:t>
            </w:r>
          </w:p>
        </w:tc>
        <w:tc>
          <w:tcPr>
            <w:tcW w:w="1995" w:type="dxa"/>
            <w:tcBorders>
              <w:bottom w:val="single" w:sz="4" w:space="0" w:color="auto"/>
            </w:tcBorders>
            <w:tcMar>
              <w:top w:w="100" w:type="dxa"/>
              <w:left w:w="100" w:type="dxa"/>
              <w:bottom w:w="100" w:type="dxa"/>
              <w:right w:w="100" w:type="dxa"/>
            </w:tcMar>
          </w:tcPr>
          <w:p w14:paraId="7DCA7EC9" w14:textId="607DECDC" w:rsidR="00332AFC" w:rsidRPr="008C5AAE" w:rsidRDefault="00EA6DC7">
            <w:pPr>
              <w:spacing w:after="0" w:line="240" w:lineRule="auto"/>
              <w:rPr>
                <w:sz w:val="20"/>
                <w:szCs w:val="20"/>
              </w:rPr>
            </w:pPr>
            <w:r>
              <w:rPr>
                <w:sz w:val="20"/>
                <w:szCs w:val="20"/>
              </w:rPr>
              <w:t>LEAs with schools identified for CS, TS, or Additional TS</w:t>
            </w:r>
          </w:p>
        </w:tc>
        <w:tc>
          <w:tcPr>
            <w:tcW w:w="1109" w:type="dxa"/>
            <w:tcBorders>
              <w:bottom w:val="single" w:sz="4" w:space="0" w:color="auto"/>
            </w:tcBorders>
            <w:tcMar>
              <w:top w:w="100" w:type="dxa"/>
              <w:left w:w="100" w:type="dxa"/>
              <w:bottom w:w="100" w:type="dxa"/>
              <w:right w:w="100" w:type="dxa"/>
            </w:tcMar>
          </w:tcPr>
          <w:p w14:paraId="5C6ED051" w14:textId="3A791BF3" w:rsidR="00332AFC" w:rsidRPr="008C5AAE" w:rsidRDefault="00724BB6" w:rsidP="00692F2A">
            <w:pPr>
              <w:spacing w:after="0" w:line="240" w:lineRule="auto"/>
              <w:jc w:val="center"/>
              <w:rPr>
                <w:sz w:val="20"/>
                <w:szCs w:val="20"/>
              </w:rPr>
            </w:pPr>
            <w:r>
              <w:rPr>
                <w:sz w:val="20"/>
                <w:szCs w:val="20"/>
              </w:rPr>
              <w:t>1 year</w:t>
            </w:r>
          </w:p>
        </w:tc>
        <w:tc>
          <w:tcPr>
            <w:tcW w:w="1147" w:type="dxa"/>
            <w:tcBorders>
              <w:bottom w:val="single" w:sz="4" w:space="0" w:color="auto"/>
            </w:tcBorders>
            <w:tcMar>
              <w:top w:w="100" w:type="dxa"/>
              <w:left w:w="100" w:type="dxa"/>
              <w:bottom w:w="100" w:type="dxa"/>
              <w:right w:w="100" w:type="dxa"/>
            </w:tcMar>
          </w:tcPr>
          <w:p w14:paraId="223A9177" w14:textId="076E49E8" w:rsidR="00C57ED2" w:rsidRDefault="00EA6DC7" w:rsidP="00C57ED2">
            <w:pPr>
              <w:spacing w:after="0" w:line="240" w:lineRule="auto"/>
              <w:jc w:val="center"/>
              <w:rPr>
                <w:sz w:val="20"/>
                <w:szCs w:val="20"/>
              </w:rPr>
            </w:pPr>
            <w:r>
              <w:rPr>
                <w:sz w:val="20"/>
                <w:szCs w:val="20"/>
              </w:rPr>
              <w:t>Up to $2</w:t>
            </w:r>
            <w:r w:rsidRPr="008C5AAE">
              <w:rPr>
                <w:sz w:val="20"/>
                <w:szCs w:val="20"/>
              </w:rPr>
              <w:t>0,000</w:t>
            </w:r>
            <w:r>
              <w:rPr>
                <w:sz w:val="20"/>
                <w:szCs w:val="20"/>
              </w:rPr>
              <w:t xml:space="preserve"> per school</w:t>
            </w:r>
          </w:p>
          <w:p w14:paraId="709E340A" w14:textId="77777777" w:rsidR="00EA6DC7" w:rsidRPr="00C57ED2" w:rsidRDefault="00EA6DC7" w:rsidP="00C57ED2">
            <w:pPr>
              <w:spacing w:after="0" w:line="240" w:lineRule="auto"/>
              <w:jc w:val="center"/>
              <w:rPr>
                <w:sz w:val="18"/>
                <w:szCs w:val="20"/>
              </w:rPr>
            </w:pPr>
          </w:p>
          <w:p w14:paraId="3BEB3422" w14:textId="77777777" w:rsidR="00332AFC" w:rsidRPr="008C5AAE" w:rsidRDefault="00C57ED2" w:rsidP="00C57ED2">
            <w:pPr>
              <w:spacing w:after="0" w:line="240" w:lineRule="auto"/>
              <w:jc w:val="center"/>
              <w:rPr>
                <w:sz w:val="20"/>
                <w:szCs w:val="20"/>
              </w:rPr>
            </w:pPr>
            <w:r w:rsidRPr="00C57ED2">
              <w:rPr>
                <w:sz w:val="18"/>
                <w:szCs w:val="20"/>
              </w:rPr>
              <w:t>Federal funds</w:t>
            </w:r>
          </w:p>
        </w:tc>
      </w:tr>
      <w:tr w:rsidR="00332AFC" w:rsidRPr="008C5AAE" w14:paraId="4358D3F2" w14:textId="77777777" w:rsidTr="00873B63">
        <w:trPr>
          <w:trHeight w:val="440"/>
        </w:trPr>
        <w:tc>
          <w:tcPr>
            <w:tcW w:w="10776" w:type="dxa"/>
            <w:gridSpan w:val="5"/>
            <w:tcBorders>
              <w:top w:val="single" w:sz="4" w:space="0" w:color="auto"/>
            </w:tcBorders>
            <w:shd w:val="clear" w:color="auto" w:fill="C00000"/>
            <w:tcMar>
              <w:top w:w="100" w:type="dxa"/>
              <w:left w:w="100" w:type="dxa"/>
              <w:bottom w:w="100" w:type="dxa"/>
              <w:right w:w="100" w:type="dxa"/>
            </w:tcMar>
            <w:vAlign w:val="center"/>
          </w:tcPr>
          <w:p w14:paraId="29966981" w14:textId="77777777" w:rsidR="00332AFC" w:rsidRPr="008C5AAE" w:rsidRDefault="00332AFC" w:rsidP="00F46836">
            <w:pPr>
              <w:spacing w:after="0" w:line="240" w:lineRule="auto"/>
              <w:jc w:val="center"/>
              <w:rPr>
                <w:color w:val="FFFFFF"/>
                <w:sz w:val="24"/>
                <w:szCs w:val="24"/>
              </w:rPr>
            </w:pPr>
            <w:r w:rsidRPr="008C5AAE">
              <w:rPr>
                <w:b/>
                <w:color w:val="FFFFFF"/>
                <w:sz w:val="24"/>
                <w:szCs w:val="24"/>
              </w:rPr>
              <w:t>DISTRICT DESIGNED AND LED IMPROVEMENT STRATEGIES</w:t>
            </w:r>
          </w:p>
          <w:p w14:paraId="0A5A4013" w14:textId="77777777" w:rsidR="00332AFC" w:rsidRPr="008C5AAE" w:rsidRDefault="00332AFC" w:rsidP="00F46836">
            <w:pPr>
              <w:spacing w:after="0" w:line="240" w:lineRule="auto"/>
              <w:rPr>
                <w:color w:val="FFFFFF"/>
                <w:sz w:val="24"/>
                <w:szCs w:val="24"/>
              </w:rPr>
            </w:pPr>
            <w:r w:rsidRPr="008C5AAE">
              <w:rPr>
                <w:color w:val="FFFFFF"/>
              </w:rPr>
              <w:t>These resources are intended to provide guidance and resources for districts that have a strong understanding of improvements that need to be made and that present complete and evidence-based plans for improvement efforts. Districts may apply for new initiatives and/or to support existing initiatives. Districts may apply for these resources in addition to the opportunities described in other sections.</w:t>
            </w:r>
          </w:p>
        </w:tc>
      </w:tr>
      <w:tr w:rsidR="00332AFC" w:rsidRPr="008C5AAE" w14:paraId="6F229D51" w14:textId="77777777" w:rsidTr="00873B63">
        <w:tc>
          <w:tcPr>
            <w:tcW w:w="1700" w:type="dxa"/>
            <w:tcBorders>
              <w:bottom w:val="single" w:sz="4" w:space="0" w:color="auto"/>
            </w:tcBorders>
            <w:shd w:val="clear" w:color="auto" w:fill="FDDFE1"/>
            <w:tcMar>
              <w:top w:w="100" w:type="dxa"/>
              <w:left w:w="100" w:type="dxa"/>
              <w:bottom w:w="100" w:type="dxa"/>
              <w:right w:w="100" w:type="dxa"/>
            </w:tcMar>
            <w:vAlign w:val="center"/>
          </w:tcPr>
          <w:p w14:paraId="41C7C9D9" w14:textId="77777777" w:rsidR="00332AFC" w:rsidRPr="008C5AAE" w:rsidRDefault="00332AFC" w:rsidP="00F46836">
            <w:pPr>
              <w:spacing w:after="0" w:line="240" w:lineRule="auto"/>
              <w:jc w:val="center"/>
              <w:rPr>
                <w:b/>
              </w:rPr>
            </w:pPr>
            <w:r w:rsidRPr="008C5AAE">
              <w:rPr>
                <w:b/>
              </w:rPr>
              <w:t>Support</w:t>
            </w:r>
          </w:p>
        </w:tc>
        <w:tc>
          <w:tcPr>
            <w:tcW w:w="4825" w:type="dxa"/>
            <w:tcBorders>
              <w:bottom w:val="single" w:sz="4" w:space="0" w:color="auto"/>
            </w:tcBorders>
            <w:shd w:val="clear" w:color="auto" w:fill="FDDFE1"/>
            <w:tcMar>
              <w:top w:w="100" w:type="dxa"/>
              <w:left w:w="100" w:type="dxa"/>
              <w:bottom w:w="100" w:type="dxa"/>
              <w:right w:w="100" w:type="dxa"/>
            </w:tcMar>
            <w:vAlign w:val="center"/>
          </w:tcPr>
          <w:p w14:paraId="289768FE" w14:textId="77777777" w:rsidR="00332AFC" w:rsidRPr="008C5AAE" w:rsidRDefault="00332AFC" w:rsidP="00F46836">
            <w:pPr>
              <w:spacing w:after="0" w:line="240" w:lineRule="auto"/>
              <w:jc w:val="center"/>
              <w:rPr>
                <w:b/>
              </w:rPr>
            </w:pPr>
            <w:r w:rsidRPr="008C5AAE">
              <w:rPr>
                <w:b/>
              </w:rPr>
              <w:t>Description</w:t>
            </w:r>
          </w:p>
        </w:tc>
        <w:tc>
          <w:tcPr>
            <w:tcW w:w="1995" w:type="dxa"/>
            <w:tcBorders>
              <w:bottom w:val="single" w:sz="4" w:space="0" w:color="auto"/>
            </w:tcBorders>
            <w:shd w:val="clear" w:color="auto" w:fill="FDDFE1"/>
            <w:tcMar>
              <w:top w:w="100" w:type="dxa"/>
              <w:left w:w="100" w:type="dxa"/>
              <w:bottom w:w="100" w:type="dxa"/>
              <w:right w:w="100" w:type="dxa"/>
            </w:tcMar>
            <w:vAlign w:val="center"/>
          </w:tcPr>
          <w:p w14:paraId="53A3A5F9" w14:textId="77777777" w:rsidR="00332AFC" w:rsidRPr="008C5AAE" w:rsidRDefault="00332AFC" w:rsidP="00F46836">
            <w:pPr>
              <w:spacing w:after="0" w:line="240" w:lineRule="auto"/>
              <w:jc w:val="center"/>
              <w:rPr>
                <w:b/>
              </w:rPr>
            </w:pPr>
            <w:r w:rsidRPr="008C5AAE">
              <w:rPr>
                <w:b/>
              </w:rPr>
              <w:t>Eligibility*</w:t>
            </w:r>
          </w:p>
        </w:tc>
        <w:tc>
          <w:tcPr>
            <w:tcW w:w="1109" w:type="dxa"/>
            <w:tcBorders>
              <w:bottom w:val="single" w:sz="4" w:space="0" w:color="auto"/>
            </w:tcBorders>
            <w:shd w:val="clear" w:color="auto" w:fill="FDDFE1"/>
            <w:tcMar>
              <w:top w:w="100" w:type="dxa"/>
              <w:left w:w="100" w:type="dxa"/>
              <w:bottom w:w="100" w:type="dxa"/>
              <w:right w:w="100" w:type="dxa"/>
            </w:tcMar>
            <w:vAlign w:val="center"/>
          </w:tcPr>
          <w:p w14:paraId="48232928" w14:textId="77777777" w:rsidR="00332AFC" w:rsidRPr="008C5AAE" w:rsidRDefault="00332AFC" w:rsidP="00F46836">
            <w:pPr>
              <w:spacing w:after="0" w:line="240" w:lineRule="auto"/>
              <w:jc w:val="center"/>
              <w:rPr>
                <w:b/>
              </w:rPr>
            </w:pPr>
            <w:r w:rsidRPr="008C5AAE">
              <w:rPr>
                <w:b/>
              </w:rPr>
              <w:t>Duration</w:t>
            </w:r>
          </w:p>
        </w:tc>
        <w:tc>
          <w:tcPr>
            <w:tcW w:w="1147" w:type="dxa"/>
            <w:tcBorders>
              <w:bottom w:val="single" w:sz="4" w:space="0" w:color="auto"/>
            </w:tcBorders>
            <w:shd w:val="clear" w:color="auto" w:fill="FDDFE1"/>
            <w:tcMar>
              <w:top w:w="100" w:type="dxa"/>
              <w:left w:w="100" w:type="dxa"/>
              <w:bottom w:w="100" w:type="dxa"/>
              <w:right w:w="100" w:type="dxa"/>
            </w:tcMar>
            <w:vAlign w:val="center"/>
          </w:tcPr>
          <w:p w14:paraId="07EECC5C" w14:textId="77777777" w:rsidR="00332AFC" w:rsidRPr="008C5AAE" w:rsidRDefault="00332AFC" w:rsidP="00F46836">
            <w:pPr>
              <w:spacing w:after="0" w:line="240" w:lineRule="auto"/>
              <w:jc w:val="center"/>
              <w:rPr>
                <w:b/>
              </w:rPr>
            </w:pPr>
            <w:r w:rsidRPr="008C5AAE">
              <w:rPr>
                <w:b/>
              </w:rPr>
              <w:t>Funds Available**</w:t>
            </w:r>
          </w:p>
        </w:tc>
      </w:tr>
      <w:tr w:rsidR="00332AFC" w:rsidRPr="008C5AAE" w14:paraId="7FE559F4" w14:textId="77777777" w:rsidTr="00873B63">
        <w:tc>
          <w:tcPr>
            <w:tcW w:w="1700" w:type="dxa"/>
            <w:tcBorders>
              <w:bottom w:val="single" w:sz="4" w:space="0" w:color="auto"/>
            </w:tcBorders>
            <w:shd w:val="clear" w:color="auto" w:fill="FDDFE1"/>
            <w:tcMar>
              <w:top w:w="100" w:type="dxa"/>
              <w:left w:w="100" w:type="dxa"/>
              <w:bottom w:w="100" w:type="dxa"/>
              <w:right w:w="100" w:type="dxa"/>
            </w:tcMar>
            <w:vAlign w:val="center"/>
          </w:tcPr>
          <w:p w14:paraId="1DFA1999" w14:textId="739C860A" w:rsidR="00332AFC" w:rsidRPr="005F52CF" w:rsidRDefault="00873B63" w:rsidP="00F46836">
            <w:pPr>
              <w:spacing w:after="0" w:line="240" w:lineRule="auto"/>
              <w:rPr>
                <w:b/>
              </w:rPr>
            </w:pPr>
            <w:hyperlink r:id="rId11" w:history="1">
              <w:r w:rsidR="00332AFC" w:rsidRPr="00A15CC2">
                <w:rPr>
                  <w:rStyle w:val="Hyperlink"/>
                  <w:b/>
                </w:rPr>
                <w:t>District Designed and Led Initiatives</w:t>
              </w:r>
            </w:hyperlink>
          </w:p>
        </w:tc>
        <w:tc>
          <w:tcPr>
            <w:tcW w:w="4825" w:type="dxa"/>
            <w:tcBorders>
              <w:bottom w:val="single" w:sz="4" w:space="0" w:color="auto"/>
            </w:tcBorders>
            <w:tcMar>
              <w:top w:w="100" w:type="dxa"/>
              <w:left w:w="100" w:type="dxa"/>
              <w:bottom w:w="100" w:type="dxa"/>
              <w:right w:w="100" w:type="dxa"/>
            </w:tcMar>
          </w:tcPr>
          <w:p w14:paraId="1EB4CF16" w14:textId="77777777" w:rsidR="00422D6D" w:rsidRPr="00422D6D" w:rsidRDefault="00422D6D" w:rsidP="00422D6D">
            <w:pPr>
              <w:tabs>
                <w:tab w:val="left" w:pos="3360"/>
              </w:tabs>
              <w:suppressAutoHyphens/>
              <w:autoSpaceDE w:val="0"/>
              <w:autoSpaceDN w:val="0"/>
              <w:adjustRightInd w:val="0"/>
              <w:spacing w:after="0" w:line="240" w:lineRule="auto"/>
              <w:textAlignment w:val="center"/>
              <w:rPr>
                <w:rFonts w:asciiTheme="majorHAnsi" w:eastAsiaTheme="minorHAnsi" w:hAnsiTheme="majorHAnsi" w:cstheme="majorHAnsi"/>
                <w:color w:val="auto"/>
                <w:sz w:val="20"/>
                <w:szCs w:val="20"/>
              </w:rPr>
            </w:pPr>
            <w:r w:rsidRPr="00422D6D">
              <w:rPr>
                <w:rFonts w:asciiTheme="majorHAnsi" w:eastAsiaTheme="minorHAnsi" w:hAnsiTheme="majorHAnsi" w:cstheme="majorHAnsi"/>
                <w:color w:val="auto"/>
                <w:sz w:val="20"/>
                <w:szCs w:val="20"/>
              </w:rPr>
              <w:t>Districts are encouraged to initiate and expand their own district-designed supports for schools in need of improvement. This grant is a good fit for districts and their scho</w:t>
            </w:r>
            <w:r>
              <w:rPr>
                <w:rFonts w:asciiTheme="majorHAnsi" w:eastAsiaTheme="minorHAnsi" w:hAnsiTheme="majorHAnsi" w:cstheme="majorHAnsi"/>
                <w:color w:val="auto"/>
                <w:sz w:val="20"/>
                <w:szCs w:val="20"/>
              </w:rPr>
              <w:t xml:space="preserve">ols that have invested in </w:t>
            </w:r>
            <w:r w:rsidRPr="00422D6D">
              <w:rPr>
                <w:rFonts w:asciiTheme="majorHAnsi" w:eastAsiaTheme="minorHAnsi" w:hAnsiTheme="majorHAnsi" w:cstheme="majorHAnsi"/>
                <w:color w:val="auto"/>
                <w:sz w:val="20"/>
                <w:szCs w:val="20"/>
              </w:rPr>
              <w:t xml:space="preserve">planning and are ready for implementation – or that have seen positive results and would like to expand programming.  </w:t>
            </w:r>
          </w:p>
          <w:p w14:paraId="197943EE" w14:textId="77777777" w:rsidR="00332AFC" w:rsidRPr="00422D6D" w:rsidRDefault="00422D6D" w:rsidP="00422D6D">
            <w:pPr>
              <w:spacing w:after="0" w:line="240" w:lineRule="auto"/>
              <w:rPr>
                <w:sz w:val="20"/>
                <w:szCs w:val="20"/>
              </w:rPr>
            </w:pPr>
            <w:r w:rsidRPr="00422D6D">
              <w:rPr>
                <w:rFonts w:asciiTheme="majorHAnsi" w:eastAsiaTheme="minorHAnsi" w:hAnsiTheme="majorHAnsi" w:cstheme="majorHAnsi"/>
                <w:color w:val="auto"/>
                <w:sz w:val="20"/>
                <w:szCs w:val="20"/>
              </w:rPr>
              <w:t>To be awarded funds under this application, proposals must meet requirements under ESSA.</w:t>
            </w:r>
          </w:p>
        </w:tc>
        <w:tc>
          <w:tcPr>
            <w:tcW w:w="1995" w:type="dxa"/>
            <w:tcBorders>
              <w:bottom w:val="single" w:sz="4" w:space="0" w:color="auto"/>
            </w:tcBorders>
            <w:tcMar>
              <w:top w:w="100" w:type="dxa"/>
              <w:left w:w="100" w:type="dxa"/>
              <w:bottom w:w="100" w:type="dxa"/>
              <w:right w:w="100" w:type="dxa"/>
            </w:tcMar>
          </w:tcPr>
          <w:p w14:paraId="5C2FB922" w14:textId="2BA5721F" w:rsidR="00332AFC" w:rsidRPr="00E05314" w:rsidRDefault="00422D6D" w:rsidP="00E05314">
            <w:pPr>
              <w:spacing w:after="0" w:line="240" w:lineRule="auto"/>
              <w:rPr>
                <w:sz w:val="20"/>
                <w:szCs w:val="20"/>
              </w:rPr>
            </w:pPr>
            <w:r w:rsidRPr="00E05314">
              <w:rPr>
                <w:rFonts w:eastAsiaTheme="minorHAnsi"/>
                <w:sz w:val="20"/>
                <w:szCs w:val="20"/>
              </w:rPr>
              <w:t xml:space="preserve">Districts with schools identified </w:t>
            </w:r>
            <w:r w:rsidR="00EA6DC7">
              <w:rPr>
                <w:rFonts w:eastAsiaTheme="minorHAnsi"/>
                <w:sz w:val="20"/>
                <w:szCs w:val="20"/>
              </w:rPr>
              <w:t>for</w:t>
            </w:r>
            <w:r w:rsidRPr="00E05314">
              <w:rPr>
                <w:rFonts w:eastAsiaTheme="minorHAnsi"/>
                <w:sz w:val="20"/>
                <w:szCs w:val="20"/>
              </w:rPr>
              <w:t xml:space="preserve"> CS or TS.</w:t>
            </w:r>
          </w:p>
        </w:tc>
        <w:tc>
          <w:tcPr>
            <w:tcW w:w="1109" w:type="dxa"/>
            <w:tcBorders>
              <w:bottom w:val="single" w:sz="4" w:space="0" w:color="auto"/>
            </w:tcBorders>
            <w:tcMar>
              <w:top w:w="100" w:type="dxa"/>
              <w:left w:w="100" w:type="dxa"/>
              <w:bottom w:w="100" w:type="dxa"/>
              <w:right w:w="100" w:type="dxa"/>
            </w:tcMar>
          </w:tcPr>
          <w:p w14:paraId="2DDE259E" w14:textId="7FB6B8F0" w:rsidR="00332AFC" w:rsidRPr="008C5AAE" w:rsidRDefault="00724BB6" w:rsidP="00E05314">
            <w:pPr>
              <w:spacing w:after="0" w:line="240" w:lineRule="auto"/>
              <w:jc w:val="center"/>
              <w:rPr>
                <w:sz w:val="20"/>
                <w:szCs w:val="20"/>
              </w:rPr>
            </w:pPr>
            <w:r>
              <w:rPr>
                <w:sz w:val="20"/>
                <w:szCs w:val="20"/>
              </w:rPr>
              <w:t>1-3 years</w:t>
            </w:r>
          </w:p>
        </w:tc>
        <w:tc>
          <w:tcPr>
            <w:tcW w:w="1147" w:type="dxa"/>
            <w:tcBorders>
              <w:bottom w:val="single" w:sz="4" w:space="0" w:color="auto"/>
            </w:tcBorders>
            <w:tcMar>
              <w:top w:w="100" w:type="dxa"/>
              <w:left w:w="100" w:type="dxa"/>
              <w:bottom w:w="100" w:type="dxa"/>
              <w:right w:w="100" w:type="dxa"/>
            </w:tcMar>
          </w:tcPr>
          <w:p w14:paraId="3E55F730" w14:textId="77777777" w:rsidR="00C57ED2" w:rsidRDefault="00C57ED2" w:rsidP="00C57ED2">
            <w:pPr>
              <w:spacing w:after="0" w:line="240" w:lineRule="auto"/>
              <w:jc w:val="center"/>
              <w:rPr>
                <w:sz w:val="20"/>
                <w:szCs w:val="20"/>
              </w:rPr>
            </w:pPr>
            <w:r>
              <w:rPr>
                <w:sz w:val="20"/>
                <w:szCs w:val="20"/>
              </w:rPr>
              <w:t>See detailed sheets for funding guidelines</w:t>
            </w:r>
          </w:p>
          <w:p w14:paraId="02F8CFA6" w14:textId="77777777" w:rsidR="00C57ED2" w:rsidRPr="00C57ED2" w:rsidRDefault="00C57ED2" w:rsidP="00C57ED2">
            <w:pPr>
              <w:spacing w:after="0" w:line="240" w:lineRule="auto"/>
              <w:jc w:val="center"/>
              <w:rPr>
                <w:sz w:val="18"/>
                <w:szCs w:val="20"/>
              </w:rPr>
            </w:pPr>
          </w:p>
          <w:p w14:paraId="1E42B34D" w14:textId="77777777" w:rsidR="00332AFC" w:rsidRPr="008C5AAE" w:rsidRDefault="00B174F9" w:rsidP="00B174F9">
            <w:pPr>
              <w:spacing w:after="0" w:line="240" w:lineRule="auto"/>
              <w:jc w:val="center"/>
              <w:rPr>
                <w:sz w:val="20"/>
                <w:szCs w:val="20"/>
              </w:rPr>
            </w:pPr>
            <w:r w:rsidRPr="00B174F9">
              <w:rPr>
                <w:i/>
                <w:sz w:val="18"/>
                <w:szCs w:val="20"/>
              </w:rPr>
              <w:t>Supported with federal funds</w:t>
            </w:r>
          </w:p>
        </w:tc>
      </w:tr>
      <w:tr w:rsidR="00DF073E" w:rsidRPr="008C5AAE" w14:paraId="7997CFA3" w14:textId="77777777" w:rsidTr="00873B63">
        <w:trPr>
          <w:trHeight w:val="440"/>
        </w:trPr>
        <w:tc>
          <w:tcPr>
            <w:tcW w:w="10776" w:type="dxa"/>
            <w:gridSpan w:val="5"/>
            <w:tcBorders>
              <w:top w:val="single" w:sz="4" w:space="0" w:color="auto"/>
            </w:tcBorders>
            <w:shd w:val="clear" w:color="auto" w:fill="00B050"/>
            <w:tcMar>
              <w:top w:w="100" w:type="dxa"/>
              <w:left w:w="100" w:type="dxa"/>
              <w:bottom w:w="100" w:type="dxa"/>
              <w:right w:w="100" w:type="dxa"/>
            </w:tcMar>
            <w:vAlign w:val="center"/>
          </w:tcPr>
          <w:p w14:paraId="32E9507A" w14:textId="77777777" w:rsidR="00DF073E" w:rsidRPr="008C5AAE" w:rsidRDefault="00DF073E" w:rsidP="00692F2A">
            <w:pPr>
              <w:spacing w:after="0" w:line="240" w:lineRule="auto"/>
              <w:jc w:val="center"/>
              <w:rPr>
                <w:color w:val="FFFFFF"/>
                <w:sz w:val="24"/>
                <w:szCs w:val="24"/>
              </w:rPr>
            </w:pPr>
            <w:r w:rsidRPr="008C5AAE">
              <w:rPr>
                <w:b/>
                <w:color w:val="FFFFFF"/>
                <w:sz w:val="24"/>
                <w:szCs w:val="24"/>
              </w:rPr>
              <w:t>CDE</w:t>
            </w:r>
            <w:r w:rsidR="00332AFC">
              <w:rPr>
                <w:b/>
                <w:color w:val="FFFFFF"/>
                <w:sz w:val="24"/>
                <w:szCs w:val="24"/>
              </w:rPr>
              <w:t>-OFFERED SERVICES</w:t>
            </w:r>
          </w:p>
          <w:p w14:paraId="3BC116E3" w14:textId="77777777" w:rsidR="00DF073E" w:rsidRPr="008C5AAE" w:rsidRDefault="00DF073E" w:rsidP="005F52CF">
            <w:pPr>
              <w:spacing w:after="0" w:line="240" w:lineRule="auto"/>
              <w:rPr>
                <w:color w:val="FFFFFF"/>
                <w:sz w:val="24"/>
                <w:szCs w:val="24"/>
              </w:rPr>
            </w:pPr>
            <w:r w:rsidRPr="008C5AAE">
              <w:rPr>
                <w:color w:val="FFFFFF"/>
              </w:rPr>
              <w:t>These supports are intended to provide intensive and in-depth support, grants, and/or engagement with expert school improvement CDE staff and/or external organizations</w:t>
            </w:r>
            <w:r w:rsidR="00E23128" w:rsidRPr="008C5AAE">
              <w:rPr>
                <w:color w:val="FFFFFF"/>
              </w:rPr>
              <w:t xml:space="preserve">. </w:t>
            </w:r>
            <w:r w:rsidRPr="008C5AAE">
              <w:rPr>
                <w:color w:val="FFFFFF"/>
              </w:rPr>
              <w:t xml:space="preserve">These supports are for districts and schools that are ready to deeply engage in improvement work, have leadership and staff buy-in, and want to work collaboratively with CDE and other </w:t>
            </w:r>
            <w:r w:rsidR="00D4317E" w:rsidRPr="008C5AAE">
              <w:rPr>
                <w:color w:val="FFFFFF"/>
              </w:rPr>
              <w:t>partners</w:t>
            </w:r>
            <w:r w:rsidRPr="008C5AAE">
              <w:rPr>
                <w:color w:val="FFFFFF"/>
              </w:rPr>
              <w:t>.</w:t>
            </w:r>
          </w:p>
        </w:tc>
      </w:tr>
      <w:tr w:rsidR="00DF073E" w:rsidRPr="008C5AAE" w14:paraId="511AE921" w14:textId="77777777" w:rsidTr="00873B63">
        <w:trPr>
          <w:trHeight w:val="682"/>
        </w:trPr>
        <w:tc>
          <w:tcPr>
            <w:tcW w:w="1700" w:type="dxa"/>
            <w:shd w:val="clear" w:color="auto" w:fill="E2EFD9" w:themeFill="accent6" w:themeFillTint="33"/>
            <w:tcMar>
              <w:top w:w="100" w:type="dxa"/>
              <w:left w:w="100" w:type="dxa"/>
              <w:bottom w:w="100" w:type="dxa"/>
              <w:right w:w="100" w:type="dxa"/>
            </w:tcMar>
            <w:vAlign w:val="center"/>
          </w:tcPr>
          <w:p w14:paraId="5005A3DD" w14:textId="77777777" w:rsidR="00DF073E" w:rsidRPr="008C5AAE" w:rsidRDefault="00DF073E">
            <w:pPr>
              <w:spacing w:after="0" w:line="240" w:lineRule="auto"/>
              <w:jc w:val="center"/>
              <w:rPr>
                <w:b/>
                <w:szCs w:val="18"/>
              </w:rPr>
            </w:pPr>
            <w:r w:rsidRPr="008C5AAE">
              <w:rPr>
                <w:b/>
                <w:szCs w:val="18"/>
              </w:rPr>
              <w:t>Support</w:t>
            </w:r>
          </w:p>
        </w:tc>
        <w:tc>
          <w:tcPr>
            <w:tcW w:w="4825" w:type="dxa"/>
            <w:shd w:val="clear" w:color="auto" w:fill="E2EFD9" w:themeFill="accent6" w:themeFillTint="33"/>
            <w:tcMar>
              <w:top w:w="100" w:type="dxa"/>
              <w:left w:w="100" w:type="dxa"/>
              <w:bottom w:w="100" w:type="dxa"/>
              <w:right w:w="100" w:type="dxa"/>
            </w:tcMar>
            <w:vAlign w:val="center"/>
          </w:tcPr>
          <w:p w14:paraId="036C34AC" w14:textId="77777777" w:rsidR="00DF073E" w:rsidRPr="008C5AAE" w:rsidRDefault="00DF073E">
            <w:pPr>
              <w:spacing w:after="0" w:line="240" w:lineRule="auto"/>
              <w:jc w:val="center"/>
              <w:rPr>
                <w:b/>
                <w:szCs w:val="18"/>
              </w:rPr>
            </w:pPr>
            <w:r w:rsidRPr="008C5AAE">
              <w:rPr>
                <w:b/>
                <w:szCs w:val="18"/>
              </w:rPr>
              <w:t>Description</w:t>
            </w:r>
          </w:p>
        </w:tc>
        <w:tc>
          <w:tcPr>
            <w:tcW w:w="1995" w:type="dxa"/>
            <w:shd w:val="clear" w:color="auto" w:fill="E2EFD9" w:themeFill="accent6" w:themeFillTint="33"/>
            <w:tcMar>
              <w:top w:w="100" w:type="dxa"/>
              <w:left w:w="100" w:type="dxa"/>
              <w:bottom w:w="100" w:type="dxa"/>
              <w:right w:w="100" w:type="dxa"/>
            </w:tcMar>
            <w:vAlign w:val="center"/>
          </w:tcPr>
          <w:p w14:paraId="692D66B9" w14:textId="77777777" w:rsidR="00DF073E" w:rsidRPr="008C5AAE" w:rsidRDefault="00DF073E">
            <w:pPr>
              <w:spacing w:after="0" w:line="240" w:lineRule="auto"/>
              <w:jc w:val="center"/>
              <w:rPr>
                <w:b/>
                <w:szCs w:val="18"/>
              </w:rPr>
            </w:pPr>
            <w:r w:rsidRPr="008C5AAE">
              <w:rPr>
                <w:b/>
                <w:szCs w:val="18"/>
              </w:rPr>
              <w:t>Eligibility*</w:t>
            </w:r>
          </w:p>
        </w:tc>
        <w:tc>
          <w:tcPr>
            <w:tcW w:w="1109" w:type="dxa"/>
            <w:shd w:val="clear" w:color="auto" w:fill="E2EFD9" w:themeFill="accent6" w:themeFillTint="33"/>
            <w:tcMar>
              <w:top w:w="100" w:type="dxa"/>
              <w:left w:w="100" w:type="dxa"/>
              <w:bottom w:w="100" w:type="dxa"/>
              <w:right w:w="100" w:type="dxa"/>
            </w:tcMar>
            <w:vAlign w:val="center"/>
          </w:tcPr>
          <w:p w14:paraId="0DCAC8E9" w14:textId="77777777" w:rsidR="00DF073E" w:rsidRPr="008C5AAE" w:rsidRDefault="00DF073E" w:rsidP="00692F2A">
            <w:pPr>
              <w:spacing w:after="0" w:line="240" w:lineRule="auto"/>
              <w:jc w:val="center"/>
              <w:rPr>
                <w:b/>
                <w:szCs w:val="18"/>
              </w:rPr>
            </w:pPr>
            <w:r w:rsidRPr="008C5AAE">
              <w:rPr>
                <w:b/>
                <w:szCs w:val="18"/>
              </w:rPr>
              <w:t>Duration</w:t>
            </w:r>
          </w:p>
        </w:tc>
        <w:tc>
          <w:tcPr>
            <w:tcW w:w="1147" w:type="dxa"/>
            <w:shd w:val="clear" w:color="auto" w:fill="E2EFD9" w:themeFill="accent6" w:themeFillTint="33"/>
            <w:tcMar>
              <w:top w:w="100" w:type="dxa"/>
              <w:left w:w="100" w:type="dxa"/>
              <w:bottom w:w="100" w:type="dxa"/>
              <w:right w:w="100" w:type="dxa"/>
            </w:tcMar>
            <w:vAlign w:val="center"/>
          </w:tcPr>
          <w:p w14:paraId="378A563B" w14:textId="77777777" w:rsidR="00DF073E" w:rsidRPr="008C5AAE" w:rsidRDefault="00DF073E" w:rsidP="00692F2A">
            <w:pPr>
              <w:spacing w:after="0" w:line="240" w:lineRule="auto"/>
              <w:jc w:val="center"/>
              <w:rPr>
                <w:b/>
                <w:szCs w:val="18"/>
              </w:rPr>
            </w:pPr>
            <w:r w:rsidRPr="008C5AAE">
              <w:rPr>
                <w:b/>
                <w:szCs w:val="18"/>
              </w:rPr>
              <w:t>Funds Available</w:t>
            </w:r>
            <w:r w:rsidR="00210103" w:rsidRPr="008C5AAE">
              <w:rPr>
                <w:b/>
                <w:szCs w:val="18"/>
              </w:rPr>
              <w:t>**</w:t>
            </w:r>
          </w:p>
        </w:tc>
      </w:tr>
      <w:tr w:rsidR="00DF073E" w:rsidRPr="008C5AAE" w14:paraId="3A1B6AB4" w14:textId="77777777" w:rsidTr="00873B63">
        <w:tc>
          <w:tcPr>
            <w:tcW w:w="1700" w:type="dxa"/>
            <w:tcBorders>
              <w:bottom w:val="single" w:sz="4" w:space="0" w:color="auto"/>
            </w:tcBorders>
            <w:shd w:val="clear" w:color="auto" w:fill="E2EFD9" w:themeFill="accent6" w:themeFillTint="33"/>
            <w:tcMar>
              <w:top w:w="100" w:type="dxa"/>
              <w:left w:w="100" w:type="dxa"/>
              <w:bottom w:w="100" w:type="dxa"/>
              <w:right w:w="100" w:type="dxa"/>
            </w:tcMar>
            <w:vAlign w:val="center"/>
          </w:tcPr>
          <w:p w14:paraId="106E6CB6" w14:textId="12AD8612" w:rsidR="00DF073E" w:rsidRPr="005F52CF" w:rsidRDefault="00873B63">
            <w:pPr>
              <w:spacing w:after="0" w:line="240" w:lineRule="auto"/>
              <w:rPr>
                <w:b/>
                <w:sz w:val="24"/>
                <w:szCs w:val="24"/>
              </w:rPr>
            </w:pPr>
            <w:hyperlink r:id="rId12" w:history="1">
              <w:r w:rsidR="00DF073E" w:rsidRPr="00A15CC2">
                <w:rPr>
                  <w:rStyle w:val="Hyperlink"/>
                  <w:b/>
                  <w:szCs w:val="24"/>
                </w:rPr>
                <w:t>Connect for Success</w:t>
              </w:r>
            </w:hyperlink>
          </w:p>
        </w:tc>
        <w:tc>
          <w:tcPr>
            <w:tcW w:w="4825" w:type="dxa"/>
            <w:tcBorders>
              <w:bottom w:val="single" w:sz="4" w:space="0" w:color="auto"/>
            </w:tcBorders>
            <w:tcMar>
              <w:top w:w="100" w:type="dxa"/>
              <w:left w:w="100" w:type="dxa"/>
              <w:bottom w:w="100" w:type="dxa"/>
              <w:right w:w="100" w:type="dxa"/>
            </w:tcMar>
          </w:tcPr>
          <w:p w14:paraId="774D2DCC" w14:textId="77777777" w:rsidR="00DF073E" w:rsidRDefault="00DF073E" w:rsidP="00861158">
            <w:pPr>
              <w:spacing w:after="0" w:line="240" w:lineRule="auto"/>
              <w:rPr>
                <w:sz w:val="20"/>
                <w:szCs w:val="20"/>
              </w:rPr>
            </w:pPr>
            <w:r w:rsidRPr="008C5AAE">
              <w:rPr>
                <w:sz w:val="20"/>
                <w:szCs w:val="20"/>
              </w:rPr>
              <w:t xml:space="preserve">Participating schools will have the opportunity to learn from high achieving schools in alignment with the High Achieving Schools (HAS) study. </w:t>
            </w:r>
            <w:r w:rsidRPr="008C5AAE">
              <w:rPr>
                <w:sz w:val="20"/>
                <w:szCs w:val="20"/>
                <w:highlight w:val="white"/>
              </w:rPr>
              <w:t xml:space="preserve">CDE conducts site visits to evaluate the school's current practices and make recommendations on how to better align strategies and practices with those of the HAS. </w:t>
            </w:r>
            <w:r w:rsidRPr="008C5AAE">
              <w:rPr>
                <w:sz w:val="20"/>
                <w:szCs w:val="20"/>
              </w:rPr>
              <w:t>The grant requires the hiring of an onsite implementation coach who works with CDE’s Implementation Manager to replicate HAS strategies and practices.</w:t>
            </w:r>
          </w:p>
          <w:p w14:paraId="66E2E757" w14:textId="77777777" w:rsidR="00B174F9" w:rsidRPr="008C5AAE" w:rsidRDefault="00B174F9" w:rsidP="00861158">
            <w:pPr>
              <w:spacing w:after="0" w:line="240" w:lineRule="auto"/>
              <w:rPr>
                <w:sz w:val="20"/>
                <w:szCs w:val="20"/>
              </w:rPr>
            </w:pPr>
            <w:r w:rsidRPr="00C57ED2">
              <w:rPr>
                <w:i/>
                <w:sz w:val="20"/>
                <w:szCs w:val="20"/>
              </w:rPr>
              <w:t>Provided through the CDE Federal Programs office.</w:t>
            </w:r>
          </w:p>
        </w:tc>
        <w:tc>
          <w:tcPr>
            <w:tcW w:w="1995" w:type="dxa"/>
            <w:tcBorders>
              <w:bottom w:val="single" w:sz="4" w:space="0" w:color="auto"/>
            </w:tcBorders>
            <w:tcMar>
              <w:top w:w="100" w:type="dxa"/>
              <w:left w:w="100" w:type="dxa"/>
              <w:bottom w:w="100" w:type="dxa"/>
              <w:right w:w="100" w:type="dxa"/>
            </w:tcMar>
          </w:tcPr>
          <w:p w14:paraId="29D1D4BD" w14:textId="0092E4EA" w:rsidR="00DF073E" w:rsidRPr="00F46161" w:rsidRDefault="00DF073E" w:rsidP="00EA6DC7">
            <w:pPr>
              <w:spacing w:after="0" w:line="240" w:lineRule="auto"/>
              <w:rPr>
                <w:sz w:val="20"/>
                <w:szCs w:val="20"/>
              </w:rPr>
            </w:pPr>
            <w:r w:rsidRPr="00F46161">
              <w:rPr>
                <w:sz w:val="20"/>
                <w:szCs w:val="20"/>
              </w:rPr>
              <w:t xml:space="preserve">Elementary or K-8 Schools identified </w:t>
            </w:r>
            <w:r w:rsidR="00EA6DC7">
              <w:rPr>
                <w:sz w:val="20"/>
                <w:szCs w:val="20"/>
              </w:rPr>
              <w:t>for</w:t>
            </w:r>
            <w:r w:rsidRPr="00F46161">
              <w:rPr>
                <w:sz w:val="20"/>
                <w:szCs w:val="20"/>
              </w:rPr>
              <w:t xml:space="preserve"> CS or TS. </w:t>
            </w:r>
          </w:p>
        </w:tc>
        <w:tc>
          <w:tcPr>
            <w:tcW w:w="1109" w:type="dxa"/>
            <w:tcBorders>
              <w:bottom w:val="single" w:sz="4" w:space="0" w:color="auto"/>
            </w:tcBorders>
            <w:tcMar>
              <w:top w:w="100" w:type="dxa"/>
              <w:left w:w="100" w:type="dxa"/>
              <w:bottom w:w="100" w:type="dxa"/>
              <w:right w:w="100" w:type="dxa"/>
            </w:tcMar>
          </w:tcPr>
          <w:p w14:paraId="71DB3238" w14:textId="77777777" w:rsidR="00DF073E" w:rsidRPr="008C5AAE" w:rsidRDefault="00DF073E" w:rsidP="00692F2A">
            <w:pPr>
              <w:spacing w:after="0" w:line="240" w:lineRule="auto"/>
              <w:jc w:val="center"/>
              <w:rPr>
                <w:sz w:val="20"/>
                <w:szCs w:val="20"/>
              </w:rPr>
            </w:pPr>
            <w:r w:rsidRPr="008C5AAE">
              <w:rPr>
                <w:sz w:val="20"/>
                <w:szCs w:val="20"/>
              </w:rPr>
              <w:t>2.5 years</w:t>
            </w:r>
          </w:p>
        </w:tc>
        <w:tc>
          <w:tcPr>
            <w:tcW w:w="1147" w:type="dxa"/>
            <w:tcBorders>
              <w:bottom w:val="single" w:sz="4" w:space="0" w:color="auto"/>
            </w:tcBorders>
            <w:tcMar>
              <w:top w:w="100" w:type="dxa"/>
              <w:left w:w="100" w:type="dxa"/>
              <w:bottom w:w="100" w:type="dxa"/>
              <w:right w:w="100" w:type="dxa"/>
            </w:tcMar>
          </w:tcPr>
          <w:p w14:paraId="01228D34" w14:textId="77777777" w:rsidR="00DF073E" w:rsidRPr="008C5AAE" w:rsidRDefault="00DF073E" w:rsidP="00692F2A">
            <w:pPr>
              <w:spacing w:after="0" w:line="240" w:lineRule="auto"/>
              <w:jc w:val="center"/>
              <w:rPr>
                <w:sz w:val="20"/>
                <w:szCs w:val="20"/>
              </w:rPr>
            </w:pPr>
            <w:r w:rsidRPr="008C5AAE">
              <w:rPr>
                <w:sz w:val="20"/>
                <w:szCs w:val="20"/>
              </w:rPr>
              <w:t>$20,000 per school in year 1;</w:t>
            </w:r>
          </w:p>
          <w:p w14:paraId="258FA4F0" w14:textId="77777777" w:rsidR="00DF073E" w:rsidRDefault="00DF073E" w:rsidP="00692F2A">
            <w:pPr>
              <w:spacing w:after="0" w:line="240" w:lineRule="auto"/>
              <w:jc w:val="center"/>
              <w:rPr>
                <w:sz w:val="20"/>
                <w:szCs w:val="20"/>
              </w:rPr>
            </w:pPr>
            <w:r w:rsidRPr="008C5AAE">
              <w:rPr>
                <w:sz w:val="20"/>
                <w:szCs w:val="20"/>
              </w:rPr>
              <w:t>$80,000 per school in years 2 &amp; 3</w:t>
            </w:r>
          </w:p>
          <w:p w14:paraId="12B742A4" w14:textId="77777777" w:rsidR="00C57ED2" w:rsidRPr="00C57ED2" w:rsidRDefault="00C57ED2" w:rsidP="00C57ED2">
            <w:pPr>
              <w:spacing w:after="0" w:line="240" w:lineRule="auto"/>
              <w:jc w:val="center"/>
              <w:rPr>
                <w:sz w:val="18"/>
                <w:szCs w:val="20"/>
              </w:rPr>
            </w:pPr>
          </w:p>
          <w:p w14:paraId="1B843614" w14:textId="77777777" w:rsidR="00C57ED2" w:rsidRPr="008C5AAE" w:rsidRDefault="00B174F9" w:rsidP="00C57ED2">
            <w:pPr>
              <w:spacing w:after="0" w:line="240" w:lineRule="auto"/>
              <w:jc w:val="center"/>
              <w:rPr>
                <w:sz w:val="20"/>
                <w:szCs w:val="20"/>
              </w:rPr>
            </w:pPr>
            <w:r w:rsidRPr="00B174F9">
              <w:rPr>
                <w:i/>
                <w:sz w:val="18"/>
                <w:szCs w:val="20"/>
              </w:rPr>
              <w:t>Supported with federal funds</w:t>
            </w:r>
          </w:p>
        </w:tc>
      </w:tr>
      <w:tr w:rsidR="00DF073E" w:rsidRPr="008C5AAE" w14:paraId="55DC3940" w14:textId="77777777" w:rsidTr="00873B63">
        <w:trPr>
          <w:trHeight w:val="529"/>
        </w:trPr>
        <w:tc>
          <w:tcPr>
            <w:tcW w:w="1700" w:type="dxa"/>
            <w:tcBorders>
              <w:bottom w:val="single" w:sz="4" w:space="0" w:color="auto"/>
            </w:tcBorders>
            <w:shd w:val="clear" w:color="auto" w:fill="E2EFD9" w:themeFill="accent6" w:themeFillTint="33"/>
            <w:tcMar>
              <w:top w:w="100" w:type="dxa"/>
              <w:left w:w="100" w:type="dxa"/>
              <w:bottom w:w="100" w:type="dxa"/>
              <w:right w:w="100" w:type="dxa"/>
            </w:tcMar>
            <w:vAlign w:val="center"/>
          </w:tcPr>
          <w:p w14:paraId="48D95DE2" w14:textId="680E8427" w:rsidR="00DF073E" w:rsidRPr="005F52CF" w:rsidRDefault="00873B63">
            <w:pPr>
              <w:spacing w:after="0" w:line="240" w:lineRule="auto"/>
              <w:rPr>
                <w:b/>
              </w:rPr>
            </w:pPr>
            <w:hyperlink r:id="rId13" w:history="1">
              <w:r w:rsidR="00DF073E" w:rsidRPr="00A15CC2">
                <w:rPr>
                  <w:rStyle w:val="Hyperlink"/>
                  <w:b/>
                </w:rPr>
                <w:t>Turnaround Network</w:t>
              </w:r>
            </w:hyperlink>
          </w:p>
        </w:tc>
        <w:tc>
          <w:tcPr>
            <w:tcW w:w="4825" w:type="dxa"/>
            <w:tcBorders>
              <w:bottom w:val="single" w:sz="4" w:space="0" w:color="auto"/>
            </w:tcBorders>
            <w:tcMar>
              <w:top w:w="100" w:type="dxa"/>
              <w:left w:w="100" w:type="dxa"/>
              <w:bottom w:w="100" w:type="dxa"/>
              <w:right w:w="100" w:type="dxa"/>
            </w:tcMar>
          </w:tcPr>
          <w:p w14:paraId="55F38B34" w14:textId="77777777" w:rsidR="00DF073E" w:rsidRPr="00E05314" w:rsidRDefault="00E05314" w:rsidP="00861158">
            <w:pPr>
              <w:spacing w:after="0" w:line="240" w:lineRule="auto"/>
              <w:rPr>
                <w:sz w:val="20"/>
                <w:szCs w:val="20"/>
              </w:rPr>
            </w:pPr>
            <w:r w:rsidRPr="00E05314">
              <w:rPr>
                <w:rFonts w:eastAsiaTheme="minorHAnsi"/>
                <w:sz w:val="20"/>
                <w:szCs w:val="20"/>
              </w:rPr>
              <w:t xml:space="preserve">The Colorado Turnaround Network will accelerate student achievement for select schools through targeted support, resources, and flexibility. The Network is a highly collaborative and accountable endeavor between local schools, their LEAs, and the Colorado Department </w:t>
            </w:r>
            <w:r w:rsidRPr="00E05314">
              <w:rPr>
                <w:rFonts w:eastAsiaTheme="minorHAnsi"/>
                <w:sz w:val="20"/>
                <w:szCs w:val="20"/>
              </w:rPr>
              <w:lastRenderedPageBreak/>
              <w:t>of Education. Schools in the Network will benefit from enhanced diagnostic reviews and planning support; personalized, professional learning opportunities with a cohort of peer schools; and additional resources through supplemental grant funding. CDE’s Theory of Action is that by supporting both LEAs and schools together, we will see lasting, sustained improvement in our lowest-performing schools</w:t>
            </w:r>
            <w:r>
              <w:rPr>
                <w:rFonts w:eastAsiaTheme="minorHAnsi"/>
                <w:sz w:val="20"/>
                <w:szCs w:val="20"/>
              </w:rPr>
              <w:t xml:space="preserve">.  </w:t>
            </w:r>
            <w:r w:rsidR="00DF073E" w:rsidRPr="00E05314">
              <w:rPr>
                <w:sz w:val="20"/>
                <w:szCs w:val="20"/>
              </w:rPr>
              <w:t>Participating principals and principal managers engage in school and district systems improvement to effect rapid and significant gains in student achievement</w:t>
            </w:r>
            <w:r w:rsidR="00E23128" w:rsidRPr="00E05314">
              <w:rPr>
                <w:sz w:val="20"/>
                <w:szCs w:val="20"/>
              </w:rPr>
              <w:t>.</w:t>
            </w:r>
          </w:p>
          <w:p w14:paraId="7B303D80" w14:textId="77777777" w:rsidR="00B174F9" w:rsidRPr="00E05314" w:rsidRDefault="00B174F9" w:rsidP="00B174F9">
            <w:pPr>
              <w:spacing w:after="0" w:line="240" w:lineRule="auto"/>
              <w:rPr>
                <w:sz w:val="20"/>
                <w:szCs w:val="20"/>
              </w:rPr>
            </w:pPr>
            <w:r w:rsidRPr="00E05314">
              <w:rPr>
                <w:i/>
                <w:sz w:val="20"/>
                <w:szCs w:val="20"/>
              </w:rPr>
              <w:t>Provided through the CDE School and District Performance office.</w:t>
            </w:r>
          </w:p>
        </w:tc>
        <w:tc>
          <w:tcPr>
            <w:tcW w:w="1995" w:type="dxa"/>
            <w:tcBorders>
              <w:bottom w:val="single" w:sz="4" w:space="0" w:color="auto"/>
            </w:tcBorders>
            <w:tcMar>
              <w:top w:w="100" w:type="dxa"/>
              <w:left w:w="100" w:type="dxa"/>
              <w:bottom w:w="100" w:type="dxa"/>
              <w:right w:w="100" w:type="dxa"/>
            </w:tcMar>
          </w:tcPr>
          <w:p w14:paraId="04B4621F" w14:textId="1E64A3BA" w:rsidR="00DF073E" w:rsidRPr="00E05314" w:rsidRDefault="00E05314" w:rsidP="00E05314">
            <w:pPr>
              <w:spacing w:after="0" w:line="240" w:lineRule="auto"/>
              <w:rPr>
                <w:sz w:val="20"/>
                <w:szCs w:val="20"/>
              </w:rPr>
            </w:pPr>
            <w:r w:rsidRPr="00E05314">
              <w:rPr>
                <w:rFonts w:eastAsiaTheme="minorHAnsi"/>
                <w:sz w:val="20"/>
                <w:szCs w:val="20"/>
              </w:rPr>
              <w:lastRenderedPageBreak/>
              <w:t>LEAs</w:t>
            </w:r>
            <w:r>
              <w:rPr>
                <w:rFonts w:eastAsiaTheme="minorHAnsi"/>
                <w:sz w:val="20"/>
                <w:szCs w:val="20"/>
              </w:rPr>
              <w:t xml:space="preserve"> with schools </w:t>
            </w:r>
            <w:r w:rsidRPr="00E05314">
              <w:rPr>
                <w:rFonts w:eastAsiaTheme="minorHAnsi"/>
                <w:sz w:val="20"/>
                <w:szCs w:val="20"/>
              </w:rPr>
              <w:t xml:space="preserve">identified </w:t>
            </w:r>
            <w:r w:rsidR="00EA6DC7">
              <w:rPr>
                <w:rFonts w:eastAsiaTheme="minorHAnsi"/>
                <w:sz w:val="20"/>
                <w:szCs w:val="20"/>
              </w:rPr>
              <w:t>for</w:t>
            </w:r>
            <w:r w:rsidRPr="00E05314">
              <w:rPr>
                <w:rFonts w:eastAsiaTheme="minorHAnsi"/>
                <w:sz w:val="20"/>
                <w:szCs w:val="20"/>
              </w:rPr>
              <w:t xml:space="preserve"> CS or TS and/or schools identified as P</w:t>
            </w:r>
            <w:r>
              <w:rPr>
                <w:rFonts w:eastAsiaTheme="minorHAnsi"/>
                <w:sz w:val="20"/>
                <w:szCs w:val="20"/>
              </w:rPr>
              <w:t>I or T</w:t>
            </w:r>
            <w:r w:rsidRPr="00E05314">
              <w:rPr>
                <w:rFonts w:eastAsiaTheme="minorHAnsi"/>
                <w:sz w:val="20"/>
                <w:szCs w:val="20"/>
              </w:rPr>
              <w:t xml:space="preserve">.  Only schools eligible </w:t>
            </w:r>
            <w:r w:rsidRPr="00E05314">
              <w:rPr>
                <w:rFonts w:eastAsiaTheme="minorHAnsi"/>
                <w:sz w:val="20"/>
                <w:szCs w:val="20"/>
              </w:rPr>
              <w:lastRenderedPageBreak/>
              <w:t xml:space="preserve">for ESSA funding </w:t>
            </w:r>
            <w:r>
              <w:rPr>
                <w:rFonts w:eastAsiaTheme="minorHAnsi"/>
                <w:sz w:val="20"/>
                <w:szCs w:val="20"/>
              </w:rPr>
              <w:t>may</w:t>
            </w:r>
            <w:r w:rsidRPr="00E05314">
              <w:rPr>
                <w:rFonts w:eastAsiaTheme="minorHAnsi"/>
                <w:sz w:val="20"/>
                <w:szCs w:val="20"/>
              </w:rPr>
              <w:t xml:space="preserve"> receive grant funds.</w:t>
            </w:r>
          </w:p>
        </w:tc>
        <w:tc>
          <w:tcPr>
            <w:tcW w:w="1109" w:type="dxa"/>
            <w:tcBorders>
              <w:bottom w:val="single" w:sz="4" w:space="0" w:color="auto"/>
            </w:tcBorders>
            <w:tcMar>
              <w:top w:w="100" w:type="dxa"/>
              <w:left w:w="100" w:type="dxa"/>
              <w:bottom w:w="100" w:type="dxa"/>
              <w:right w:w="100" w:type="dxa"/>
            </w:tcMar>
          </w:tcPr>
          <w:p w14:paraId="1724F43D" w14:textId="77777777" w:rsidR="00DF073E" w:rsidRPr="008C5AAE" w:rsidRDefault="00DF073E" w:rsidP="00692F2A">
            <w:pPr>
              <w:spacing w:after="0" w:line="240" w:lineRule="auto"/>
              <w:jc w:val="center"/>
              <w:rPr>
                <w:sz w:val="20"/>
                <w:szCs w:val="20"/>
              </w:rPr>
            </w:pPr>
            <w:r w:rsidRPr="008C5AAE">
              <w:rPr>
                <w:sz w:val="20"/>
                <w:szCs w:val="20"/>
              </w:rPr>
              <w:lastRenderedPageBreak/>
              <w:t>3 years</w:t>
            </w:r>
          </w:p>
        </w:tc>
        <w:tc>
          <w:tcPr>
            <w:tcW w:w="1147" w:type="dxa"/>
            <w:tcBorders>
              <w:bottom w:val="single" w:sz="4" w:space="0" w:color="auto"/>
            </w:tcBorders>
            <w:tcMar>
              <w:top w:w="100" w:type="dxa"/>
              <w:left w:w="100" w:type="dxa"/>
              <w:bottom w:w="100" w:type="dxa"/>
              <w:right w:w="100" w:type="dxa"/>
            </w:tcMar>
          </w:tcPr>
          <w:p w14:paraId="7FBA8BBE" w14:textId="15E9CB53" w:rsidR="00DF073E" w:rsidRDefault="00DF073E" w:rsidP="00692F2A">
            <w:pPr>
              <w:spacing w:after="0" w:line="240" w:lineRule="auto"/>
              <w:jc w:val="center"/>
              <w:rPr>
                <w:sz w:val="20"/>
                <w:szCs w:val="20"/>
              </w:rPr>
            </w:pPr>
            <w:r w:rsidRPr="008C5AAE">
              <w:rPr>
                <w:sz w:val="20"/>
                <w:szCs w:val="20"/>
              </w:rPr>
              <w:t>$30,000 - $7</w:t>
            </w:r>
            <w:r w:rsidR="00EA6DC7">
              <w:rPr>
                <w:sz w:val="20"/>
                <w:szCs w:val="20"/>
              </w:rPr>
              <w:t>5</w:t>
            </w:r>
            <w:r w:rsidRPr="008C5AAE">
              <w:rPr>
                <w:sz w:val="20"/>
                <w:szCs w:val="20"/>
              </w:rPr>
              <w:t>,000 per school per year</w:t>
            </w:r>
          </w:p>
          <w:p w14:paraId="328FF215" w14:textId="77777777" w:rsidR="00C57ED2" w:rsidRPr="00C57ED2" w:rsidRDefault="00C57ED2" w:rsidP="00C57ED2">
            <w:pPr>
              <w:spacing w:after="0" w:line="240" w:lineRule="auto"/>
              <w:jc w:val="center"/>
              <w:rPr>
                <w:sz w:val="18"/>
                <w:szCs w:val="20"/>
              </w:rPr>
            </w:pPr>
          </w:p>
          <w:p w14:paraId="5746E56C" w14:textId="77777777" w:rsidR="00C57ED2" w:rsidRPr="00B174F9" w:rsidRDefault="00B174F9" w:rsidP="00C57ED2">
            <w:pPr>
              <w:spacing w:after="0" w:line="240" w:lineRule="auto"/>
              <w:jc w:val="center"/>
              <w:rPr>
                <w:i/>
                <w:sz w:val="20"/>
                <w:szCs w:val="20"/>
              </w:rPr>
            </w:pPr>
            <w:r w:rsidRPr="00B174F9">
              <w:rPr>
                <w:i/>
                <w:sz w:val="18"/>
                <w:szCs w:val="20"/>
              </w:rPr>
              <w:lastRenderedPageBreak/>
              <w:t>Supported with federal funds</w:t>
            </w:r>
          </w:p>
        </w:tc>
      </w:tr>
      <w:tr w:rsidR="00332AFC" w:rsidRPr="008C5AAE" w14:paraId="10EAAF09" w14:textId="77777777" w:rsidTr="00873B63">
        <w:trPr>
          <w:trHeight w:val="440"/>
        </w:trPr>
        <w:tc>
          <w:tcPr>
            <w:tcW w:w="10776" w:type="dxa"/>
            <w:gridSpan w:val="5"/>
            <w:tcBorders>
              <w:top w:val="single" w:sz="4" w:space="0" w:color="auto"/>
            </w:tcBorders>
            <w:shd w:val="clear" w:color="auto" w:fill="7030A0"/>
            <w:tcMar>
              <w:top w:w="100" w:type="dxa"/>
              <w:left w:w="100" w:type="dxa"/>
              <w:bottom w:w="100" w:type="dxa"/>
              <w:right w:w="100" w:type="dxa"/>
            </w:tcMar>
            <w:vAlign w:val="center"/>
          </w:tcPr>
          <w:p w14:paraId="43020E8C" w14:textId="77777777" w:rsidR="00332AFC" w:rsidRPr="002C19D1" w:rsidRDefault="00C46E0C" w:rsidP="00F46836">
            <w:pPr>
              <w:spacing w:after="0" w:line="240" w:lineRule="auto"/>
              <w:jc w:val="center"/>
              <w:rPr>
                <w:color w:val="FFFFFF" w:themeColor="background1"/>
              </w:rPr>
            </w:pPr>
            <w:r w:rsidRPr="002C19D1">
              <w:rPr>
                <w:b/>
                <w:color w:val="FFFFFF" w:themeColor="background1"/>
              </w:rPr>
              <w:lastRenderedPageBreak/>
              <w:t>DISTRICT</w:t>
            </w:r>
            <w:r w:rsidR="00332AFC" w:rsidRPr="002C19D1">
              <w:rPr>
                <w:b/>
                <w:color w:val="FFFFFF" w:themeColor="background1"/>
              </w:rPr>
              <w:t>WIDE SUPPORTS</w:t>
            </w:r>
          </w:p>
          <w:p w14:paraId="40F4F869" w14:textId="77777777" w:rsidR="00332AFC" w:rsidRPr="002C19D1" w:rsidRDefault="00332AFC" w:rsidP="00F46836">
            <w:pPr>
              <w:spacing w:after="0" w:line="240" w:lineRule="auto"/>
            </w:pPr>
            <w:r w:rsidRPr="002C19D1">
              <w:rPr>
                <w:color w:val="FFFFFF" w:themeColor="background1"/>
              </w:rPr>
              <w:t>These supports are offered by CDE to districts and schools to improve their ability to meet statutory requirements and implement high quality programs. Supports for technical assistance should be requested directly from each identified CDE office. These services can be accessed in addition to the opportunities described in other sections.</w:t>
            </w:r>
          </w:p>
        </w:tc>
      </w:tr>
      <w:tr w:rsidR="006A729C" w:rsidRPr="008C5AAE" w14:paraId="6F294804" w14:textId="77777777" w:rsidTr="00873B63">
        <w:trPr>
          <w:trHeight w:val="682"/>
        </w:trPr>
        <w:tc>
          <w:tcPr>
            <w:tcW w:w="1700" w:type="dxa"/>
            <w:shd w:val="clear" w:color="auto" w:fill="F4E4F4"/>
            <w:tcMar>
              <w:top w:w="100" w:type="dxa"/>
              <w:left w:w="100" w:type="dxa"/>
              <w:bottom w:w="100" w:type="dxa"/>
              <w:right w:w="100" w:type="dxa"/>
            </w:tcMar>
            <w:vAlign w:val="center"/>
          </w:tcPr>
          <w:p w14:paraId="1649AC69" w14:textId="77777777" w:rsidR="006A729C" w:rsidRPr="009B6DEA" w:rsidRDefault="006A729C" w:rsidP="009B6DEA">
            <w:pPr>
              <w:spacing w:after="0" w:line="240" w:lineRule="auto"/>
              <w:contextualSpacing/>
              <w:jc w:val="center"/>
              <w:rPr>
                <w:rFonts w:asciiTheme="minorHAnsi" w:eastAsiaTheme="minorHAnsi" w:hAnsiTheme="minorHAnsi" w:cstheme="minorHAnsi"/>
                <w:b/>
                <w:color w:val="262626" w:themeColor="text1" w:themeTint="D9"/>
                <w:kern w:val="16"/>
              </w:rPr>
            </w:pPr>
            <w:r w:rsidRPr="009B6DEA">
              <w:rPr>
                <w:rFonts w:asciiTheme="minorHAnsi" w:eastAsiaTheme="minorHAnsi" w:hAnsiTheme="minorHAnsi" w:cstheme="minorHAnsi"/>
                <w:b/>
                <w:color w:val="262626" w:themeColor="text1" w:themeTint="D9"/>
                <w:kern w:val="16"/>
              </w:rPr>
              <w:t>Support</w:t>
            </w:r>
          </w:p>
        </w:tc>
        <w:tc>
          <w:tcPr>
            <w:tcW w:w="4825" w:type="dxa"/>
            <w:shd w:val="clear" w:color="auto" w:fill="F4E4F4"/>
            <w:tcMar>
              <w:top w:w="100" w:type="dxa"/>
              <w:left w:w="100" w:type="dxa"/>
              <w:bottom w:w="100" w:type="dxa"/>
              <w:right w:w="100" w:type="dxa"/>
            </w:tcMar>
            <w:vAlign w:val="center"/>
          </w:tcPr>
          <w:p w14:paraId="2367FE34" w14:textId="77777777" w:rsidR="006A729C" w:rsidRPr="009B6DEA" w:rsidRDefault="006A729C" w:rsidP="009B6DEA">
            <w:pPr>
              <w:spacing w:after="0" w:line="240" w:lineRule="auto"/>
              <w:contextualSpacing/>
              <w:jc w:val="center"/>
              <w:rPr>
                <w:rFonts w:asciiTheme="minorHAnsi" w:eastAsiaTheme="minorHAnsi" w:hAnsiTheme="minorHAnsi" w:cstheme="minorHAnsi"/>
                <w:b/>
                <w:color w:val="262626" w:themeColor="text1" w:themeTint="D9"/>
                <w:kern w:val="16"/>
              </w:rPr>
            </w:pPr>
            <w:r w:rsidRPr="009B6DEA">
              <w:rPr>
                <w:rFonts w:asciiTheme="minorHAnsi" w:eastAsiaTheme="minorHAnsi" w:hAnsiTheme="minorHAnsi" w:cstheme="minorHAnsi"/>
                <w:b/>
                <w:color w:val="262626" w:themeColor="text1" w:themeTint="D9"/>
                <w:kern w:val="16"/>
              </w:rPr>
              <w:t>Description</w:t>
            </w:r>
          </w:p>
        </w:tc>
        <w:tc>
          <w:tcPr>
            <w:tcW w:w="1995" w:type="dxa"/>
            <w:shd w:val="clear" w:color="auto" w:fill="F4E4F4"/>
            <w:tcMar>
              <w:top w:w="100" w:type="dxa"/>
              <w:left w:w="100" w:type="dxa"/>
              <w:bottom w:w="100" w:type="dxa"/>
              <w:right w:w="100" w:type="dxa"/>
            </w:tcMar>
            <w:vAlign w:val="center"/>
          </w:tcPr>
          <w:p w14:paraId="678FE45C" w14:textId="77777777" w:rsidR="006A729C" w:rsidRPr="009B6DEA" w:rsidRDefault="006A729C" w:rsidP="009B6DEA">
            <w:pPr>
              <w:spacing w:after="0" w:line="240" w:lineRule="auto"/>
              <w:contextualSpacing/>
              <w:jc w:val="center"/>
              <w:rPr>
                <w:rFonts w:asciiTheme="minorHAnsi" w:eastAsiaTheme="minorHAnsi" w:hAnsiTheme="minorHAnsi" w:cstheme="minorHAnsi"/>
                <w:b/>
                <w:color w:val="262626" w:themeColor="text1" w:themeTint="D9"/>
                <w:kern w:val="16"/>
              </w:rPr>
            </w:pPr>
            <w:r w:rsidRPr="009B6DEA">
              <w:rPr>
                <w:rFonts w:asciiTheme="minorHAnsi" w:eastAsiaTheme="minorHAnsi" w:hAnsiTheme="minorHAnsi" w:cstheme="minorHAnsi"/>
                <w:b/>
                <w:color w:val="262626" w:themeColor="text1" w:themeTint="D9"/>
                <w:kern w:val="16"/>
              </w:rPr>
              <w:t>Eligibility*</w:t>
            </w:r>
          </w:p>
        </w:tc>
        <w:tc>
          <w:tcPr>
            <w:tcW w:w="1109" w:type="dxa"/>
            <w:shd w:val="clear" w:color="auto" w:fill="F4E4F4"/>
            <w:tcMar>
              <w:top w:w="100" w:type="dxa"/>
              <w:left w:w="100" w:type="dxa"/>
              <w:bottom w:w="100" w:type="dxa"/>
              <w:right w:w="100" w:type="dxa"/>
            </w:tcMar>
            <w:vAlign w:val="center"/>
          </w:tcPr>
          <w:p w14:paraId="1638849A" w14:textId="77777777" w:rsidR="006A729C" w:rsidRPr="009B6DEA" w:rsidRDefault="006A729C" w:rsidP="009B6DEA">
            <w:pPr>
              <w:spacing w:after="0" w:line="240" w:lineRule="auto"/>
              <w:contextualSpacing/>
              <w:jc w:val="center"/>
              <w:rPr>
                <w:rFonts w:asciiTheme="minorHAnsi" w:eastAsiaTheme="minorHAnsi" w:hAnsiTheme="minorHAnsi" w:cstheme="minorHAnsi"/>
                <w:b/>
                <w:color w:val="262626" w:themeColor="text1" w:themeTint="D9"/>
                <w:kern w:val="16"/>
              </w:rPr>
            </w:pPr>
            <w:r w:rsidRPr="009B6DEA">
              <w:rPr>
                <w:rFonts w:asciiTheme="minorHAnsi" w:eastAsiaTheme="minorHAnsi" w:hAnsiTheme="minorHAnsi" w:cstheme="minorHAnsi"/>
                <w:b/>
                <w:color w:val="262626" w:themeColor="text1" w:themeTint="D9"/>
                <w:kern w:val="16"/>
              </w:rPr>
              <w:t>Duration</w:t>
            </w:r>
          </w:p>
        </w:tc>
        <w:tc>
          <w:tcPr>
            <w:tcW w:w="1147" w:type="dxa"/>
            <w:shd w:val="clear" w:color="auto" w:fill="F4E4F4"/>
            <w:tcMar>
              <w:top w:w="100" w:type="dxa"/>
              <w:left w:w="100" w:type="dxa"/>
              <w:bottom w:w="100" w:type="dxa"/>
              <w:right w:w="100" w:type="dxa"/>
            </w:tcMar>
            <w:vAlign w:val="center"/>
          </w:tcPr>
          <w:p w14:paraId="5DC3EA09" w14:textId="77777777" w:rsidR="007C4F6B" w:rsidRDefault="00C57ED2" w:rsidP="009B6DEA">
            <w:pPr>
              <w:spacing w:after="0" w:line="240" w:lineRule="auto"/>
              <w:contextualSpacing/>
              <w:jc w:val="center"/>
              <w:rPr>
                <w:rFonts w:asciiTheme="minorHAnsi" w:eastAsiaTheme="minorHAnsi" w:hAnsiTheme="minorHAnsi" w:cstheme="minorHAnsi"/>
                <w:b/>
                <w:color w:val="262626" w:themeColor="text1" w:themeTint="D9"/>
                <w:kern w:val="16"/>
              </w:rPr>
            </w:pPr>
            <w:r w:rsidRPr="009B6DEA">
              <w:rPr>
                <w:rFonts w:asciiTheme="minorHAnsi" w:eastAsiaTheme="minorHAnsi" w:hAnsiTheme="minorHAnsi" w:cstheme="minorHAnsi"/>
                <w:b/>
                <w:color w:val="262626" w:themeColor="text1" w:themeTint="D9"/>
                <w:kern w:val="16"/>
              </w:rPr>
              <w:t>Funds Available</w:t>
            </w:r>
          </w:p>
          <w:p w14:paraId="1143BFFF" w14:textId="3FF64E49" w:rsidR="006A729C" w:rsidRPr="009B6DEA" w:rsidRDefault="007C4F6B" w:rsidP="009B6DEA">
            <w:pPr>
              <w:spacing w:after="0" w:line="240" w:lineRule="auto"/>
              <w:contextualSpacing/>
              <w:jc w:val="center"/>
              <w:rPr>
                <w:rFonts w:asciiTheme="minorHAnsi" w:eastAsiaTheme="minorHAnsi" w:hAnsiTheme="minorHAnsi" w:cstheme="minorHAnsi"/>
                <w:b/>
                <w:color w:val="262626" w:themeColor="text1" w:themeTint="D9"/>
                <w:kern w:val="16"/>
              </w:rPr>
            </w:pPr>
            <w:r>
              <w:rPr>
                <w:rFonts w:asciiTheme="minorHAnsi" w:eastAsiaTheme="minorHAnsi" w:hAnsiTheme="minorHAnsi" w:cstheme="minorHAnsi"/>
                <w:b/>
                <w:color w:val="262626" w:themeColor="text1" w:themeTint="D9"/>
                <w:kern w:val="16"/>
              </w:rPr>
              <w:t>*</w:t>
            </w:r>
            <w:r w:rsidR="006A729C" w:rsidRPr="009B6DEA">
              <w:rPr>
                <w:rFonts w:asciiTheme="minorHAnsi" w:eastAsiaTheme="minorHAnsi" w:hAnsiTheme="minorHAnsi" w:cstheme="minorHAnsi"/>
                <w:b/>
                <w:color w:val="262626" w:themeColor="text1" w:themeTint="D9"/>
                <w:kern w:val="16"/>
              </w:rPr>
              <w:t>*</w:t>
            </w:r>
          </w:p>
        </w:tc>
      </w:tr>
      <w:tr w:rsidR="00724BB6" w:rsidRPr="008C5AAE" w14:paraId="17A9A61F" w14:textId="77777777" w:rsidTr="00873B63">
        <w:tc>
          <w:tcPr>
            <w:tcW w:w="1700" w:type="dxa"/>
            <w:tcBorders>
              <w:bottom w:val="single" w:sz="4" w:space="0" w:color="auto"/>
            </w:tcBorders>
            <w:shd w:val="clear" w:color="auto" w:fill="F4E4F4"/>
            <w:tcMar>
              <w:top w:w="100" w:type="dxa"/>
              <w:left w:w="100" w:type="dxa"/>
              <w:bottom w:w="100" w:type="dxa"/>
              <w:right w:w="100" w:type="dxa"/>
            </w:tcMar>
            <w:vAlign w:val="center"/>
          </w:tcPr>
          <w:p w14:paraId="66A1DE88" w14:textId="64497075" w:rsidR="00724BB6" w:rsidRPr="009B6DEA" w:rsidRDefault="00873B63" w:rsidP="00E374A0">
            <w:pPr>
              <w:spacing w:after="0" w:line="240" w:lineRule="auto"/>
              <w:contextualSpacing/>
              <w:rPr>
                <w:rFonts w:asciiTheme="minorHAnsi" w:eastAsiaTheme="minorHAnsi" w:hAnsiTheme="minorHAnsi" w:cstheme="minorBidi"/>
                <w:b/>
                <w:color w:val="262626" w:themeColor="text1" w:themeTint="D9"/>
                <w:kern w:val="16"/>
                <w:szCs w:val="18"/>
              </w:rPr>
            </w:pPr>
            <w:hyperlink r:id="rId14" w:history="1">
              <w:r w:rsidR="00724BB6" w:rsidRPr="00A15CC2">
                <w:rPr>
                  <w:rStyle w:val="Hyperlink"/>
                  <w:rFonts w:asciiTheme="minorHAnsi" w:eastAsiaTheme="minorHAnsi" w:hAnsiTheme="minorHAnsi" w:cstheme="minorBidi"/>
                  <w:b/>
                  <w:kern w:val="16"/>
                  <w:szCs w:val="18"/>
                </w:rPr>
                <w:t>School Turnaround Leaders Development Program</w:t>
              </w:r>
            </w:hyperlink>
          </w:p>
        </w:tc>
        <w:tc>
          <w:tcPr>
            <w:tcW w:w="4825" w:type="dxa"/>
            <w:tcBorders>
              <w:bottom w:val="single" w:sz="4" w:space="0" w:color="auto"/>
            </w:tcBorders>
            <w:tcMar>
              <w:top w:w="100" w:type="dxa"/>
              <w:left w:w="100" w:type="dxa"/>
              <w:bottom w:w="100" w:type="dxa"/>
              <w:right w:w="100" w:type="dxa"/>
            </w:tcMar>
          </w:tcPr>
          <w:p w14:paraId="6AE2F147" w14:textId="77777777" w:rsidR="00724BB6" w:rsidRDefault="00724BB6" w:rsidP="00E374A0">
            <w:pPr>
              <w:spacing w:after="0" w:line="240" w:lineRule="auto"/>
              <w:rPr>
                <w:sz w:val="20"/>
                <w:szCs w:val="20"/>
              </w:rPr>
            </w:pPr>
            <w:r w:rsidRPr="008C5AAE">
              <w:rPr>
                <w:sz w:val="20"/>
                <w:szCs w:val="20"/>
              </w:rPr>
              <w:t xml:space="preserve">Effective leadership is essential in low-performing systems. This </w:t>
            </w:r>
            <w:r>
              <w:rPr>
                <w:sz w:val="20"/>
                <w:szCs w:val="20"/>
              </w:rPr>
              <w:t xml:space="preserve">state-funded </w:t>
            </w:r>
            <w:r w:rsidRPr="008C5AAE">
              <w:rPr>
                <w:sz w:val="20"/>
                <w:szCs w:val="20"/>
              </w:rPr>
              <w:t xml:space="preserve">grant opportunity funds and connects teachers, aspiring leaders, and school and district leaders to attend leadership development </w:t>
            </w:r>
            <w:bookmarkStart w:id="0" w:name="_GoBack"/>
            <w:bookmarkEnd w:id="0"/>
            <w:r w:rsidRPr="008C5AAE">
              <w:rPr>
                <w:sz w:val="20"/>
                <w:szCs w:val="20"/>
              </w:rPr>
              <w:t>programs with identified providers.</w:t>
            </w:r>
          </w:p>
          <w:p w14:paraId="1F4F23E3" w14:textId="77777777" w:rsidR="00724BB6" w:rsidRPr="008C5AAE" w:rsidRDefault="00724BB6" w:rsidP="00E374A0">
            <w:pPr>
              <w:spacing w:after="0" w:line="240" w:lineRule="auto"/>
              <w:rPr>
                <w:sz w:val="20"/>
                <w:szCs w:val="20"/>
              </w:rPr>
            </w:pPr>
            <w:r w:rsidRPr="00C57ED2">
              <w:rPr>
                <w:i/>
                <w:sz w:val="20"/>
                <w:szCs w:val="20"/>
              </w:rPr>
              <w:t xml:space="preserve">Provided through the CDE </w:t>
            </w:r>
            <w:r>
              <w:rPr>
                <w:i/>
                <w:sz w:val="20"/>
                <w:szCs w:val="20"/>
              </w:rPr>
              <w:t>School and District Performance</w:t>
            </w:r>
            <w:r w:rsidRPr="00C57ED2">
              <w:rPr>
                <w:i/>
                <w:sz w:val="20"/>
                <w:szCs w:val="20"/>
              </w:rPr>
              <w:t xml:space="preserve"> office.</w:t>
            </w:r>
          </w:p>
        </w:tc>
        <w:tc>
          <w:tcPr>
            <w:tcW w:w="1995" w:type="dxa"/>
            <w:tcBorders>
              <w:bottom w:val="single" w:sz="4" w:space="0" w:color="auto"/>
            </w:tcBorders>
            <w:tcMar>
              <w:top w:w="100" w:type="dxa"/>
              <w:left w:w="100" w:type="dxa"/>
              <w:bottom w:w="100" w:type="dxa"/>
              <w:right w:w="100" w:type="dxa"/>
            </w:tcMar>
          </w:tcPr>
          <w:p w14:paraId="3A206EF1" w14:textId="77777777" w:rsidR="00724BB6" w:rsidRPr="008C5AAE" w:rsidRDefault="00724BB6" w:rsidP="00E374A0">
            <w:pPr>
              <w:spacing w:after="0" w:line="240" w:lineRule="auto"/>
              <w:rPr>
                <w:sz w:val="20"/>
                <w:szCs w:val="20"/>
              </w:rPr>
            </w:pPr>
            <w:r w:rsidRPr="008C5AAE">
              <w:rPr>
                <w:sz w:val="20"/>
                <w:szCs w:val="20"/>
              </w:rPr>
              <w:t>Any school may participate in leadership training. State funding only available for schools identified with PI or T rating. ESSA funding may be available for CS or TS schools.</w:t>
            </w:r>
          </w:p>
        </w:tc>
        <w:tc>
          <w:tcPr>
            <w:tcW w:w="1109" w:type="dxa"/>
            <w:tcBorders>
              <w:bottom w:val="single" w:sz="4" w:space="0" w:color="auto"/>
            </w:tcBorders>
            <w:tcMar>
              <w:top w:w="100" w:type="dxa"/>
              <w:left w:w="100" w:type="dxa"/>
              <w:bottom w:w="100" w:type="dxa"/>
              <w:right w:w="100" w:type="dxa"/>
            </w:tcMar>
          </w:tcPr>
          <w:p w14:paraId="094CE53A" w14:textId="77777777" w:rsidR="00724BB6" w:rsidRPr="008C5AAE" w:rsidRDefault="00724BB6" w:rsidP="00E374A0">
            <w:pPr>
              <w:spacing w:after="0" w:line="240" w:lineRule="auto"/>
              <w:jc w:val="center"/>
              <w:rPr>
                <w:sz w:val="20"/>
                <w:szCs w:val="20"/>
              </w:rPr>
            </w:pPr>
            <w:r w:rsidRPr="008C5AAE">
              <w:rPr>
                <w:sz w:val="20"/>
                <w:szCs w:val="20"/>
              </w:rPr>
              <w:t>1-3 years</w:t>
            </w:r>
          </w:p>
        </w:tc>
        <w:tc>
          <w:tcPr>
            <w:tcW w:w="1147" w:type="dxa"/>
            <w:tcBorders>
              <w:bottom w:val="single" w:sz="4" w:space="0" w:color="auto"/>
            </w:tcBorders>
            <w:tcMar>
              <w:top w:w="100" w:type="dxa"/>
              <w:left w:w="100" w:type="dxa"/>
              <w:bottom w:w="100" w:type="dxa"/>
              <w:right w:w="100" w:type="dxa"/>
            </w:tcMar>
          </w:tcPr>
          <w:p w14:paraId="66029518" w14:textId="77777777" w:rsidR="00724BB6" w:rsidRDefault="00724BB6" w:rsidP="00E374A0">
            <w:pPr>
              <w:spacing w:after="0" w:line="240" w:lineRule="auto"/>
              <w:jc w:val="center"/>
              <w:rPr>
                <w:sz w:val="20"/>
                <w:szCs w:val="20"/>
              </w:rPr>
            </w:pPr>
            <w:r w:rsidRPr="008C5AAE">
              <w:rPr>
                <w:sz w:val="20"/>
                <w:szCs w:val="20"/>
              </w:rPr>
              <w:t>Depending on leadership provider program</w:t>
            </w:r>
          </w:p>
          <w:p w14:paraId="0C1EAE50" w14:textId="77777777" w:rsidR="00724BB6" w:rsidRPr="00C57ED2" w:rsidRDefault="00724BB6" w:rsidP="00E374A0">
            <w:pPr>
              <w:spacing w:after="0" w:line="240" w:lineRule="auto"/>
              <w:jc w:val="center"/>
              <w:rPr>
                <w:sz w:val="18"/>
                <w:szCs w:val="20"/>
              </w:rPr>
            </w:pPr>
          </w:p>
          <w:p w14:paraId="1011D874" w14:textId="77777777" w:rsidR="00724BB6" w:rsidRPr="008C5AAE" w:rsidRDefault="00724BB6" w:rsidP="00E374A0">
            <w:pPr>
              <w:spacing w:after="0" w:line="240" w:lineRule="auto"/>
              <w:jc w:val="center"/>
              <w:rPr>
                <w:sz w:val="20"/>
                <w:szCs w:val="20"/>
              </w:rPr>
            </w:pPr>
            <w:r w:rsidRPr="00B174F9">
              <w:rPr>
                <w:i/>
                <w:sz w:val="18"/>
                <w:szCs w:val="20"/>
              </w:rPr>
              <w:t xml:space="preserve">Supported with </w:t>
            </w:r>
            <w:r>
              <w:rPr>
                <w:i/>
                <w:sz w:val="18"/>
                <w:szCs w:val="20"/>
              </w:rPr>
              <w:t>state</w:t>
            </w:r>
            <w:r w:rsidRPr="00B174F9">
              <w:rPr>
                <w:i/>
                <w:sz w:val="18"/>
                <w:szCs w:val="20"/>
              </w:rPr>
              <w:t xml:space="preserve"> funds</w:t>
            </w:r>
          </w:p>
        </w:tc>
      </w:tr>
      <w:tr w:rsidR="00724BB6" w:rsidRPr="008C5AAE" w14:paraId="6450E4A1" w14:textId="77777777" w:rsidTr="00873B63">
        <w:tc>
          <w:tcPr>
            <w:tcW w:w="1700" w:type="dxa"/>
            <w:tcBorders>
              <w:bottom w:val="single" w:sz="4" w:space="0" w:color="auto"/>
            </w:tcBorders>
            <w:shd w:val="clear" w:color="auto" w:fill="F4E4F4"/>
            <w:tcMar>
              <w:top w:w="100" w:type="dxa"/>
              <w:left w:w="100" w:type="dxa"/>
              <w:bottom w:w="100" w:type="dxa"/>
              <w:right w:w="100" w:type="dxa"/>
            </w:tcMar>
            <w:vAlign w:val="center"/>
          </w:tcPr>
          <w:p w14:paraId="3AEC06D7" w14:textId="595DB0C8" w:rsidR="00724BB6" w:rsidRPr="009B6DEA" w:rsidRDefault="00873B63" w:rsidP="00E374A0">
            <w:pPr>
              <w:spacing w:after="0" w:line="240" w:lineRule="auto"/>
              <w:contextualSpacing/>
              <w:rPr>
                <w:rFonts w:asciiTheme="minorHAnsi" w:eastAsiaTheme="minorHAnsi" w:hAnsiTheme="minorHAnsi" w:cstheme="minorBidi"/>
                <w:b/>
                <w:color w:val="262626" w:themeColor="text1" w:themeTint="D9"/>
                <w:kern w:val="16"/>
                <w:szCs w:val="18"/>
              </w:rPr>
            </w:pPr>
            <w:hyperlink r:id="rId15" w:history="1">
              <w:r w:rsidR="00724BB6" w:rsidRPr="00A15CC2">
                <w:rPr>
                  <w:rStyle w:val="Hyperlink"/>
                  <w:rFonts w:asciiTheme="minorHAnsi" w:eastAsiaTheme="minorHAnsi" w:hAnsiTheme="minorHAnsi" w:cstheme="minorBidi"/>
                  <w:b/>
                  <w:kern w:val="16"/>
                  <w:szCs w:val="18"/>
                </w:rPr>
                <w:t>Colorado Multi-Tiered System of Supports</w:t>
              </w:r>
            </w:hyperlink>
          </w:p>
        </w:tc>
        <w:tc>
          <w:tcPr>
            <w:tcW w:w="4825" w:type="dxa"/>
            <w:tcBorders>
              <w:bottom w:val="single" w:sz="4" w:space="0" w:color="auto"/>
            </w:tcBorders>
            <w:tcMar>
              <w:top w:w="100" w:type="dxa"/>
              <w:left w:w="100" w:type="dxa"/>
              <w:bottom w:w="100" w:type="dxa"/>
              <w:right w:w="100" w:type="dxa"/>
            </w:tcMar>
          </w:tcPr>
          <w:p w14:paraId="0BCF3FA6" w14:textId="77777777" w:rsidR="00724BB6" w:rsidRPr="002F7214" w:rsidRDefault="00724BB6" w:rsidP="00E374A0">
            <w:pPr>
              <w:spacing w:after="0" w:line="240" w:lineRule="auto"/>
              <w:rPr>
                <w:sz w:val="20"/>
                <w:szCs w:val="20"/>
              </w:rPr>
            </w:pPr>
            <w:r w:rsidRPr="002F7214">
              <w:rPr>
                <w:rFonts w:eastAsiaTheme="minorHAnsi"/>
                <w:b/>
                <w:sz w:val="20"/>
                <w:szCs w:val="20"/>
              </w:rPr>
              <w:t>Co</w:t>
            </w:r>
            <w:r w:rsidRPr="002F7214">
              <w:rPr>
                <w:rFonts w:eastAsiaTheme="minorHAnsi"/>
                <w:sz w:val="20"/>
                <w:szCs w:val="20"/>
              </w:rPr>
              <w:t xml:space="preserve">lorado </w:t>
            </w:r>
            <w:r w:rsidRPr="002F7214">
              <w:rPr>
                <w:rFonts w:eastAsiaTheme="minorHAnsi"/>
                <w:b/>
                <w:sz w:val="20"/>
                <w:szCs w:val="20"/>
              </w:rPr>
              <w:t>M</w:t>
            </w:r>
            <w:r w:rsidRPr="002F7214">
              <w:rPr>
                <w:rFonts w:eastAsiaTheme="minorHAnsi"/>
                <w:sz w:val="20"/>
                <w:szCs w:val="20"/>
              </w:rPr>
              <w:t>ulti-</w:t>
            </w:r>
            <w:r w:rsidRPr="002F7214">
              <w:rPr>
                <w:rFonts w:eastAsiaTheme="minorHAnsi"/>
                <w:b/>
                <w:sz w:val="20"/>
                <w:szCs w:val="20"/>
              </w:rPr>
              <w:t>T</w:t>
            </w:r>
            <w:r w:rsidRPr="002F7214">
              <w:rPr>
                <w:rFonts w:eastAsiaTheme="minorHAnsi"/>
                <w:sz w:val="20"/>
                <w:szCs w:val="20"/>
              </w:rPr>
              <w:t xml:space="preserve">iered </w:t>
            </w:r>
            <w:r w:rsidRPr="002F7214">
              <w:rPr>
                <w:rFonts w:eastAsiaTheme="minorHAnsi"/>
                <w:b/>
                <w:sz w:val="20"/>
                <w:szCs w:val="20"/>
              </w:rPr>
              <w:t>S</w:t>
            </w:r>
            <w:r w:rsidRPr="002F7214">
              <w:rPr>
                <w:rFonts w:eastAsiaTheme="minorHAnsi"/>
                <w:sz w:val="20"/>
                <w:szCs w:val="20"/>
              </w:rPr>
              <w:t xml:space="preserve">ystem of </w:t>
            </w:r>
            <w:r w:rsidRPr="002F7214">
              <w:rPr>
                <w:rFonts w:eastAsiaTheme="minorHAnsi"/>
                <w:b/>
                <w:sz w:val="20"/>
                <w:szCs w:val="20"/>
              </w:rPr>
              <w:t>S</w:t>
            </w:r>
            <w:r w:rsidRPr="002F7214">
              <w:rPr>
                <w:rFonts w:eastAsiaTheme="minorHAnsi"/>
                <w:sz w:val="20"/>
                <w:szCs w:val="20"/>
              </w:rPr>
              <w:t xml:space="preserve">upports </w:t>
            </w:r>
            <w:r w:rsidRPr="002F7214">
              <w:rPr>
                <w:rFonts w:eastAsiaTheme="minorHAnsi"/>
                <w:b/>
                <w:sz w:val="20"/>
                <w:szCs w:val="20"/>
              </w:rPr>
              <w:t>(CO-MTSS)</w:t>
            </w:r>
            <w:r w:rsidRPr="002F7214">
              <w:rPr>
                <w:rFonts w:eastAsiaTheme="minorHAnsi"/>
                <w:sz w:val="20"/>
                <w:szCs w:val="20"/>
              </w:rPr>
              <w:t xml:space="preserve"> is defined as a prevention-based framework of team-driven data-based problem solving for improving the outcomes of every student through family, school, and community partnering and a layered continuum of evidence-based practices applied at the classroom, school, LEA, region, and state level. </w:t>
            </w:r>
            <w:r w:rsidRPr="002F7214">
              <w:rPr>
                <w:sz w:val="20"/>
                <w:szCs w:val="20"/>
              </w:rPr>
              <w:t xml:space="preserve">CDE consultation and support </w:t>
            </w:r>
            <w:r>
              <w:rPr>
                <w:sz w:val="20"/>
                <w:szCs w:val="20"/>
              </w:rPr>
              <w:t xml:space="preserve">is available </w:t>
            </w:r>
            <w:r w:rsidRPr="002F7214">
              <w:rPr>
                <w:sz w:val="20"/>
                <w:szCs w:val="20"/>
              </w:rPr>
              <w:t>for district and school leaders.</w:t>
            </w:r>
          </w:p>
          <w:p w14:paraId="28C9791B" w14:textId="77777777" w:rsidR="00724BB6" w:rsidRPr="002F7214" w:rsidRDefault="00724BB6" w:rsidP="00E374A0">
            <w:pPr>
              <w:spacing w:after="0" w:line="240" w:lineRule="auto"/>
              <w:rPr>
                <w:sz w:val="20"/>
                <w:szCs w:val="20"/>
              </w:rPr>
            </w:pPr>
            <w:r w:rsidRPr="002F7214">
              <w:rPr>
                <w:i/>
                <w:sz w:val="20"/>
                <w:szCs w:val="20"/>
              </w:rPr>
              <w:t>Provided through the CDE MTSS office.</w:t>
            </w:r>
          </w:p>
        </w:tc>
        <w:tc>
          <w:tcPr>
            <w:tcW w:w="1995" w:type="dxa"/>
            <w:tcBorders>
              <w:bottom w:val="single" w:sz="4" w:space="0" w:color="auto"/>
            </w:tcBorders>
            <w:tcMar>
              <w:top w:w="100" w:type="dxa"/>
              <w:left w:w="100" w:type="dxa"/>
              <w:bottom w:w="100" w:type="dxa"/>
              <w:right w:w="100" w:type="dxa"/>
            </w:tcMar>
          </w:tcPr>
          <w:p w14:paraId="5437C451" w14:textId="77777777" w:rsidR="00724BB6" w:rsidRDefault="00724BB6" w:rsidP="00E374A0">
            <w:pPr>
              <w:spacing w:after="0" w:line="240" w:lineRule="auto"/>
              <w:rPr>
                <w:rFonts w:eastAsiaTheme="minorHAnsi"/>
                <w:sz w:val="20"/>
                <w:szCs w:val="20"/>
              </w:rPr>
            </w:pPr>
            <w:r w:rsidRPr="002F7214">
              <w:rPr>
                <w:rFonts w:eastAsiaTheme="minorHAnsi"/>
                <w:sz w:val="20"/>
                <w:szCs w:val="20"/>
              </w:rPr>
              <w:t xml:space="preserve">Any LEA willing to commit to partnering with CDE.  </w:t>
            </w:r>
          </w:p>
          <w:p w14:paraId="7A734A83" w14:textId="77777777" w:rsidR="00724BB6" w:rsidRPr="002F7214" w:rsidRDefault="00724BB6" w:rsidP="00E374A0">
            <w:pPr>
              <w:spacing w:after="0" w:line="240" w:lineRule="auto"/>
              <w:rPr>
                <w:sz w:val="20"/>
                <w:szCs w:val="20"/>
              </w:rPr>
            </w:pPr>
            <w:r w:rsidRPr="00E05314">
              <w:rPr>
                <w:rFonts w:eastAsiaTheme="minorHAnsi"/>
                <w:sz w:val="20"/>
                <w:szCs w:val="20"/>
              </w:rPr>
              <w:t xml:space="preserve">Only </w:t>
            </w:r>
            <w:r>
              <w:rPr>
                <w:rFonts w:eastAsiaTheme="minorHAnsi"/>
                <w:sz w:val="20"/>
                <w:szCs w:val="20"/>
              </w:rPr>
              <w:t>LEAs</w:t>
            </w:r>
            <w:r w:rsidRPr="00E05314">
              <w:rPr>
                <w:rFonts w:eastAsiaTheme="minorHAnsi"/>
                <w:sz w:val="20"/>
                <w:szCs w:val="20"/>
              </w:rPr>
              <w:t xml:space="preserve"> </w:t>
            </w:r>
            <w:r>
              <w:rPr>
                <w:rFonts w:eastAsiaTheme="minorHAnsi"/>
                <w:sz w:val="20"/>
                <w:szCs w:val="20"/>
              </w:rPr>
              <w:t xml:space="preserve">with ESSA </w:t>
            </w:r>
            <w:r w:rsidRPr="00E05314">
              <w:rPr>
                <w:rFonts w:eastAsiaTheme="minorHAnsi"/>
                <w:sz w:val="20"/>
                <w:szCs w:val="20"/>
              </w:rPr>
              <w:t>eligible</w:t>
            </w:r>
            <w:r>
              <w:rPr>
                <w:rFonts w:eastAsiaTheme="minorHAnsi"/>
                <w:sz w:val="20"/>
                <w:szCs w:val="20"/>
              </w:rPr>
              <w:t xml:space="preserve"> schools</w:t>
            </w:r>
            <w:r w:rsidRPr="00E05314">
              <w:rPr>
                <w:rFonts w:eastAsiaTheme="minorHAnsi"/>
                <w:sz w:val="20"/>
                <w:szCs w:val="20"/>
              </w:rPr>
              <w:t xml:space="preserve"> </w:t>
            </w:r>
            <w:r>
              <w:rPr>
                <w:rFonts w:eastAsiaTheme="minorHAnsi"/>
                <w:sz w:val="20"/>
                <w:szCs w:val="20"/>
              </w:rPr>
              <w:t>may</w:t>
            </w:r>
            <w:r w:rsidRPr="00E05314">
              <w:rPr>
                <w:rFonts w:eastAsiaTheme="minorHAnsi"/>
                <w:sz w:val="20"/>
                <w:szCs w:val="20"/>
              </w:rPr>
              <w:t xml:space="preserve"> receive grant funds.</w:t>
            </w:r>
          </w:p>
        </w:tc>
        <w:tc>
          <w:tcPr>
            <w:tcW w:w="1109" w:type="dxa"/>
            <w:tcBorders>
              <w:bottom w:val="single" w:sz="4" w:space="0" w:color="auto"/>
            </w:tcBorders>
            <w:tcMar>
              <w:top w:w="100" w:type="dxa"/>
              <w:left w:w="100" w:type="dxa"/>
              <w:bottom w:w="100" w:type="dxa"/>
              <w:right w:w="100" w:type="dxa"/>
            </w:tcMar>
          </w:tcPr>
          <w:p w14:paraId="33FE83CB" w14:textId="77777777" w:rsidR="00724BB6" w:rsidRPr="008C5AAE" w:rsidRDefault="00724BB6" w:rsidP="00E374A0">
            <w:pPr>
              <w:spacing w:after="0" w:line="240" w:lineRule="auto"/>
              <w:jc w:val="center"/>
              <w:rPr>
                <w:sz w:val="20"/>
                <w:szCs w:val="20"/>
              </w:rPr>
            </w:pPr>
            <w:r w:rsidRPr="008C5AAE">
              <w:rPr>
                <w:sz w:val="20"/>
                <w:szCs w:val="20"/>
              </w:rPr>
              <w:t>3-5  years</w:t>
            </w:r>
          </w:p>
        </w:tc>
        <w:tc>
          <w:tcPr>
            <w:tcW w:w="1147" w:type="dxa"/>
            <w:tcBorders>
              <w:bottom w:val="single" w:sz="4" w:space="0" w:color="auto"/>
            </w:tcBorders>
            <w:tcMar>
              <w:top w:w="100" w:type="dxa"/>
              <w:left w:w="100" w:type="dxa"/>
              <w:bottom w:w="100" w:type="dxa"/>
              <w:right w:w="100" w:type="dxa"/>
            </w:tcMar>
          </w:tcPr>
          <w:p w14:paraId="4612D47E" w14:textId="77777777" w:rsidR="00724BB6" w:rsidRDefault="00724BB6" w:rsidP="00E374A0">
            <w:pPr>
              <w:spacing w:after="0" w:line="240" w:lineRule="auto"/>
              <w:jc w:val="center"/>
              <w:rPr>
                <w:sz w:val="20"/>
                <w:szCs w:val="20"/>
              </w:rPr>
            </w:pPr>
            <w:r>
              <w:rPr>
                <w:sz w:val="20"/>
                <w:szCs w:val="20"/>
              </w:rPr>
              <w:t>$5,000 in the first 6 months; from $10,000 - $20,000 after the initial 6 months</w:t>
            </w:r>
          </w:p>
          <w:p w14:paraId="5B6EC621" w14:textId="77777777" w:rsidR="00724BB6" w:rsidRPr="00C57ED2" w:rsidRDefault="00724BB6" w:rsidP="00E374A0">
            <w:pPr>
              <w:spacing w:after="0" w:line="240" w:lineRule="auto"/>
              <w:jc w:val="center"/>
              <w:rPr>
                <w:sz w:val="18"/>
                <w:szCs w:val="20"/>
              </w:rPr>
            </w:pPr>
          </w:p>
          <w:p w14:paraId="43B3D075" w14:textId="77777777" w:rsidR="00724BB6" w:rsidRPr="008C5AAE" w:rsidRDefault="00724BB6" w:rsidP="00E374A0">
            <w:pPr>
              <w:spacing w:after="0" w:line="240" w:lineRule="auto"/>
              <w:jc w:val="center"/>
              <w:rPr>
                <w:sz w:val="20"/>
                <w:szCs w:val="20"/>
              </w:rPr>
            </w:pPr>
            <w:r w:rsidRPr="00B174F9">
              <w:rPr>
                <w:i/>
                <w:sz w:val="18"/>
                <w:szCs w:val="20"/>
              </w:rPr>
              <w:t>Supported with federal funds</w:t>
            </w:r>
          </w:p>
        </w:tc>
      </w:tr>
      <w:tr w:rsidR="00724BB6" w:rsidRPr="008C5AAE" w14:paraId="0318AA05" w14:textId="77777777" w:rsidTr="00873B63">
        <w:tc>
          <w:tcPr>
            <w:tcW w:w="1700" w:type="dxa"/>
            <w:shd w:val="clear" w:color="auto" w:fill="F4E4F4"/>
            <w:tcMar>
              <w:top w:w="100" w:type="dxa"/>
              <w:left w:w="100" w:type="dxa"/>
              <w:bottom w:w="100" w:type="dxa"/>
              <w:right w:w="100" w:type="dxa"/>
            </w:tcMar>
            <w:vAlign w:val="center"/>
          </w:tcPr>
          <w:p w14:paraId="1DBCAC01" w14:textId="4B645CE7" w:rsidR="00724BB6" w:rsidRPr="00A15CC2" w:rsidRDefault="00A15CC2" w:rsidP="00445CC0">
            <w:pPr>
              <w:spacing w:after="0" w:line="240" w:lineRule="auto"/>
              <w:contextualSpacing/>
              <w:rPr>
                <w:rStyle w:val="Hyperlink"/>
                <w:rFonts w:asciiTheme="minorHAnsi" w:eastAsiaTheme="minorHAnsi" w:hAnsiTheme="minorHAnsi" w:cstheme="minorBidi"/>
                <w:b/>
                <w:kern w:val="16"/>
                <w:szCs w:val="18"/>
              </w:rPr>
            </w:pPr>
            <w:r>
              <w:rPr>
                <w:rFonts w:asciiTheme="minorHAnsi" w:eastAsiaTheme="minorHAnsi" w:hAnsiTheme="minorHAnsi" w:cstheme="minorBidi"/>
                <w:b/>
                <w:color w:val="262626" w:themeColor="text1" w:themeTint="D9"/>
                <w:kern w:val="16"/>
                <w:szCs w:val="18"/>
              </w:rPr>
              <w:fldChar w:fldCharType="begin"/>
            </w:r>
            <w:r>
              <w:rPr>
                <w:rFonts w:asciiTheme="minorHAnsi" w:eastAsiaTheme="minorHAnsi" w:hAnsiTheme="minorHAnsi" w:cstheme="minorBidi"/>
                <w:b/>
                <w:color w:val="262626" w:themeColor="text1" w:themeTint="D9"/>
                <w:kern w:val="16"/>
                <w:szCs w:val="18"/>
              </w:rPr>
              <w:instrText xml:space="preserve"> HYPERLINK "http://www.cde.state.co.us/fedprograms/consultation-accountabilityplanningresource" </w:instrText>
            </w:r>
            <w:r>
              <w:rPr>
                <w:rFonts w:asciiTheme="minorHAnsi" w:eastAsiaTheme="minorHAnsi" w:hAnsiTheme="minorHAnsi" w:cstheme="minorBidi"/>
                <w:b/>
                <w:color w:val="262626" w:themeColor="text1" w:themeTint="D9"/>
                <w:kern w:val="16"/>
                <w:szCs w:val="18"/>
              </w:rPr>
              <w:fldChar w:fldCharType="separate"/>
            </w:r>
            <w:r w:rsidR="00724BB6" w:rsidRPr="00A15CC2">
              <w:rPr>
                <w:rStyle w:val="Hyperlink"/>
                <w:rFonts w:asciiTheme="minorHAnsi" w:eastAsiaTheme="minorHAnsi" w:hAnsiTheme="minorHAnsi" w:cstheme="minorBidi"/>
                <w:b/>
                <w:kern w:val="16"/>
                <w:szCs w:val="18"/>
              </w:rPr>
              <w:t>CDE Consultation:</w:t>
            </w:r>
          </w:p>
          <w:p w14:paraId="6A1F613A" w14:textId="4FAFB43F" w:rsidR="00724BB6" w:rsidRPr="009B6DEA" w:rsidRDefault="00724BB6" w:rsidP="00F46836">
            <w:pPr>
              <w:spacing w:after="0" w:line="240" w:lineRule="auto"/>
              <w:contextualSpacing/>
              <w:rPr>
                <w:rFonts w:asciiTheme="minorHAnsi" w:eastAsiaTheme="minorHAnsi" w:hAnsiTheme="minorHAnsi" w:cstheme="minorBidi"/>
                <w:b/>
                <w:color w:val="262626" w:themeColor="text1" w:themeTint="D9"/>
                <w:kern w:val="16"/>
                <w:szCs w:val="18"/>
              </w:rPr>
            </w:pPr>
            <w:r w:rsidRPr="00A15CC2">
              <w:rPr>
                <w:rStyle w:val="Hyperlink"/>
                <w:rFonts w:asciiTheme="minorHAnsi" w:eastAsiaTheme="minorHAnsi" w:hAnsiTheme="minorHAnsi" w:cstheme="minorBidi"/>
                <w:b/>
                <w:kern w:val="16"/>
                <w:szCs w:val="18"/>
              </w:rPr>
              <w:t>Improvement planning Support</w:t>
            </w:r>
            <w:r w:rsidR="00A15CC2">
              <w:rPr>
                <w:rFonts w:asciiTheme="minorHAnsi" w:eastAsiaTheme="minorHAnsi" w:hAnsiTheme="minorHAnsi" w:cstheme="minorBidi"/>
                <w:b/>
                <w:color w:val="262626" w:themeColor="text1" w:themeTint="D9"/>
                <w:kern w:val="16"/>
                <w:szCs w:val="18"/>
              </w:rPr>
              <w:fldChar w:fldCharType="end"/>
            </w:r>
          </w:p>
        </w:tc>
        <w:tc>
          <w:tcPr>
            <w:tcW w:w="4825" w:type="dxa"/>
            <w:tcMar>
              <w:top w:w="100" w:type="dxa"/>
              <w:left w:w="100" w:type="dxa"/>
              <w:bottom w:w="100" w:type="dxa"/>
              <w:right w:w="100" w:type="dxa"/>
            </w:tcMar>
          </w:tcPr>
          <w:p w14:paraId="50E1D71E" w14:textId="77777777" w:rsidR="00724BB6" w:rsidRPr="00F46161" w:rsidRDefault="00724BB6" w:rsidP="00F46836">
            <w:pPr>
              <w:spacing w:after="0" w:line="240" w:lineRule="auto"/>
              <w:rPr>
                <w:sz w:val="20"/>
                <w:szCs w:val="20"/>
              </w:rPr>
            </w:pPr>
            <w:r w:rsidRPr="00F46161">
              <w:rPr>
                <w:sz w:val="20"/>
                <w:szCs w:val="20"/>
              </w:rPr>
              <w:t>Customized improvement planning supports through the Improvement Planning Office. The office will work with the district and school(s) to ensure plans include a needs assessment, evidence-based strategies, a progress monitoring process and involvement of stakeholders. Supports are available in person, through regional opportunities, online and via phone.</w:t>
            </w:r>
          </w:p>
          <w:p w14:paraId="03068D11" w14:textId="77777777" w:rsidR="00724BB6" w:rsidRPr="00F46161" w:rsidRDefault="00724BB6" w:rsidP="00B174F9">
            <w:pPr>
              <w:spacing w:after="0" w:line="240" w:lineRule="auto"/>
              <w:rPr>
                <w:sz w:val="20"/>
                <w:szCs w:val="20"/>
              </w:rPr>
            </w:pPr>
            <w:r w:rsidRPr="00F46161">
              <w:rPr>
                <w:i/>
                <w:sz w:val="20"/>
                <w:szCs w:val="20"/>
              </w:rPr>
              <w:lastRenderedPageBreak/>
              <w:t>Provided through the CDE Improvement Planning office.</w:t>
            </w:r>
          </w:p>
        </w:tc>
        <w:tc>
          <w:tcPr>
            <w:tcW w:w="1995" w:type="dxa"/>
            <w:vMerge w:val="restart"/>
            <w:tcMar>
              <w:top w:w="100" w:type="dxa"/>
              <w:left w:w="100" w:type="dxa"/>
              <w:bottom w:w="100" w:type="dxa"/>
              <w:right w:w="100" w:type="dxa"/>
            </w:tcMar>
            <w:vAlign w:val="center"/>
          </w:tcPr>
          <w:p w14:paraId="75984C2A" w14:textId="74FA7DFD" w:rsidR="00724BB6" w:rsidRDefault="00724BB6" w:rsidP="00F46836">
            <w:pPr>
              <w:spacing w:after="0" w:line="240" w:lineRule="auto"/>
              <w:rPr>
                <w:sz w:val="20"/>
                <w:szCs w:val="20"/>
              </w:rPr>
            </w:pPr>
            <w:r>
              <w:rPr>
                <w:sz w:val="20"/>
                <w:szCs w:val="20"/>
              </w:rPr>
              <w:lastRenderedPageBreak/>
              <w:t>All districts and schools.</w:t>
            </w:r>
          </w:p>
          <w:p w14:paraId="2D5E7F9F" w14:textId="48F3873F" w:rsidR="00724BB6" w:rsidRPr="00F46161" w:rsidRDefault="00724BB6" w:rsidP="00724BB6">
            <w:pPr>
              <w:spacing w:after="0" w:line="240" w:lineRule="auto"/>
              <w:rPr>
                <w:sz w:val="20"/>
                <w:szCs w:val="20"/>
              </w:rPr>
            </w:pPr>
            <w:r w:rsidRPr="00E05314">
              <w:rPr>
                <w:rFonts w:eastAsiaTheme="minorHAnsi"/>
                <w:sz w:val="20"/>
                <w:szCs w:val="20"/>
              </w:rPr>
              <w:t xml:space="preserve">Only </w:t>
            </w:r>
            <w:r>
              <w:rPr>
                <w:rFonts w:eastAsiaTheme="minorHAnsi"/>
                <w:sz w:val="20"/>
                <w:szCs w:val="20"/>
              </w:rPr>
              <w:t>LEAs</w:t>
            </w:r>
            <w:r w:rsidRPr="00E05314">
              <w:rPr>
                <w:rFonts w:eastAsiaTheme="minorHAnsi"/>
                <w:sz w:val="20"/>
                <w:szCs w:val="20"/>
              </w:rPr>
              <w:t xml:space="preserve"> </w:t>
            </w:r>
            <w:r>
              <w:rPr>
                <w:rFonts w:eastAsiaTheme="minorHAnsi"/>
                <w:sz w:val="20"/>
                <w:szCs w:val="20"/>
              </w:rPr>
              <w:t xml:space="preserve">with ESSA </w:t>
            </w:r>
            <w:r w:rsidRPr="00E05314">
              <w:rPr>
                <w:rFonts w:eastAsiaTheme="minorHAnsi"/>
                <w:sz w:val="20"/>
                <w:szCs w:val="20"/>
              </w:rPr>
              <w:t>eligible</w:t>
            </w:r>
            <w:r>
              <w:rPr>
                <w:rFonts w:eastAsiaTheme="minorHAnsi"/>
                <w:sz w:val="20"/>
                <w:szCs w:val="20"/>
              </w:rPr>
              <w:t xml:space="preserve"> schools</w:t>
            </w:r>
            <w:r w:rsidRPr="00E05314">
              <w:rPr>
                <w:rFonts w:eastAsiaTheme="minorHAnsi"/>
                <w:sz w:val="20"/>
                <w:szCs w:val="20"/>
              </w:rPr>
              <w:t xml:space="preserve"> </w:t>
            </w:r>
            <w:r>
              <w:rPr>
                <w:rFonts w:eastAsiaTheme="minorHAnsi"/>
                <w:sz w:val="20"/>
                <w:szCs w:val="20"/>
              </w:rPr>
              <w:t>may</w:t>
            </w:r>
            <w:r w:rsidRPr="00E05314">
              <w:rPr>
                <w:rFonts w:eastAsiaTheme="minorHAnsi"/>
                <w:sz w:val="20"/>
                <w:szCs w:val="20"/>
              </w:rPr>
              <w:t xml:space="preserve"> receive grant funds.</w:t>
            </w:r>
          </w:p>
        </w:tc>
        <w:tc>
          <w:tcPr>
            <w:tcW w:w="1109" w:type="dxa"/>
            <w:vMerge w:val="restart"/>
            <w:tcMar>
              <w:top w:w="100" w:type="dxa"/>
              <w:left w:w="100" w:type="dxa"/>
              <w:bottom w:w="100" w:type="dxa"/>
              <w:right w:w="100" w:type="dxa"/>
            </w:tcMar>
            <w:vAlign w:val="center"/>
          </w:tcPr>
          <w:p w14:paraId="5F0ABC96" w14:textId="77777777" w:rsidR="00724BB6" w:rsidRPr="00F46161" w:rsidRDefault="00724BB6" w:rsidP="00F46836">
            <w:pPr>
              <w:spacing w:after="0" w:line="240" w:lineRule="auto"/>
              <w:jc w:val="center"/>
              <w:rPr>
                <w:sz w:val="20"/>
                <w:szCs w:val="20"/>
              </w:rPr>
            </w:pPr>
            <w:r w:rsidRPr="00F46161">
              <w:rPr>
                <w:sz w:val="20"/>
                <w:szCs w:val="20"/>
              </w:rPr>
              <w:t>Ongoing</w:t>
            </w:r>
          </w:p>
          <w:p w14:paraId="1D52C451" w14:textId="4D0A5B20" w:rsidR="00724BB6" w:rsidRPr="00F46161" w:rsidRDefault="00724BB6" w:rsidP="006A729C">
            <w:pPr>
              <w:spacing w:after="0" w:line="240" w:lineRule="auto"/>
              <w:jc w:val="center"/>
              <w:rPr>
                <w:sz w:val="20"/>
                <w:szCs w:val="20"/>
              </w:rPr>
            </w:pPr>
          </w:p>
        </w:tc>
        <w:tc>
          <w:tcPr>
            <w:tcW w:w="1147" w:type="dxa"/>
            <w:vMerge w:val="restart"/>
            <w:tcMar>
              <w:top w:w="100" w:type="dxa"/>
              <w:left w:w="100" w:type="dxa"/>
              <w:bottom w:w="100" w:type="dxa"/>
              <w:right w:w="100" w:type="dxa"/>
            </w:tcMar>
            <w:vAlign w:val="center"/>
          </w:tcPr>
          <w:p w14:paraId="13139127" w14:textId="348680BA" w:rsidR="00724BB6" w:rsidRDefault="00724BB6" w:rsidP="00F34BDB">
            <w:pPr>
              <w:spacing w:after="0" w:line="240" w:lineRule="auto"/>
              <w:jc w:val="center"/>
              <w:rPr>
                <w:i/>
                <w:sz w:val="20"/>
                <w:szCs w:val="20"/>
              </w:rPr>
            </w:pPr>
            <w:r>
              <w:rPr>
                <w:i/>
                <w:sz w:val="20"/>
                <w:szCs w:val="20"/>
              </w:rPr>
              <w:t>$5,000 - $15,000 per eligible LEA</w:t>
            </w:r>
          </w:p>
          <w:p w14:paraId="4C278C89" w14:textId="77777777" w:rsidR="00724BB6" w:rsidRPr="00C57ED2" w:rsidRDefault="00724BB6" w:rsidP="00F34BDB">
            <w:pPr>
              <w:spacing w:after="0" w:line="240" w:lineRule="auto"/>
              <w:jc w:val="center"/>
              <w:rPr>
                <w:sz w:val="18"/>
                <w:szCs w:val="20"/>
              </w:rPr>
            </w:pPr>
          </w:p>
          <w:p w14:paraId="0B4221D5" w14:textId="7C53B9AB" w:rsidR="00724BB6" w:rsidRPr="00724BB6" w:rsidRDefault="00724BB6" w:rsidP="00724BB6">
            <w:pPr>
              <w:spacing w:after="0" w:line="240" w:lineRule="auto"/>
              <w:jc w:val="center"/>
              <w:rPr>
                <w:i/>
                <w:sz w:val="20"/>
                <w:szCs w:val="20"/>
              </w:rPr>
            </w:pPr>
            <w:r w:rsidRPr="00B174F9">
              <w:rPr>
                <w:i/>
                <w:sz w:val="18"/>
                <w:szCs w:val="20"/>
              </w:rPr>
              <w:t xml:space="preserve">Supported with federal </w:t>
            </w:r>
            <w:r w:rsidRPr="00B174F9">
              <w:rPr>
                <w:i/>
                <w:sz w:val="18"/>
                <w:szCs w:val="20"/>
              </w:rPr>
              <w:lastRenderedPageBreak/>
              <w:t>funds</w:t>
            </w:r>
          </w:p>
        </w:tc>
      </w:tr>
      <w:tr w:rsidR="00724BB6" w:rsidRPr="008C5AAE" w14:paraId="27607539" w14:textId="77777777" w:rsidTr="00873B63">
        <w:tc>
          <w:tcPr>
            <w:tcW w:w="1700" w:type="dxa"/>
            <w:shd w:val="clear" w:color="auto" w:fill="F4E4F4"/>
            <w:tcMar>
              <w:top w:w="100" w:type="dxa"/>
              <w:left w:w="100" w:type="dxa"/>
              <w:bottom w:w="100" w:type="dxa"/>
              <w:right w:w="100" w:type="dxa"/>
            </w:tcMar>
            <w:vAlign w:val="center"/>
          </w:tcPr>
          <w:p w14:paraId="643F39C9" w14:textId="54E21A97" w:rsidR="00724BB6" w:rsidRPr="00A15CC2" w:rsidRDefault="00A15CC2" w:rsidP="006A729C">
            <w:pPr>
              <w:spacing w:after="0" w:line="240" w:lineRule="auto"/>
              <w:contextualSpacing/>
              <w:rPr>
                <w:rStyle w:val="Hyperlink"/>
                <w:rFonts w:asciiTheme="minorHAnsi" w:eastAsiaTheme="minorHAnsi" w:hAnsiTheme="minorHAnsi" w:cstheme="minorBidi"/>
                <w:b/>
                <w:kern w:val="16"/>
                <w:szCs w:val="18"/>
              </w:rPr>
            </w:pPr>
            <w:r>
              <w:rPr>
                <w:rFonts w:asciiTheme="minorHAnsi" w:eastAsiaTheme="minorHAnsi" w:hAnsiTheme="minorHAnsi" w:cstheme="minorBidi"/>
                <w:b/>
                <w:color w:val="262626" w:themeColor="text1" w:themeTint="D9"/>
                <w:kern w:val="16"/>
                <w:szCs w:val="18"/>
              </w:rPr>
              <w:lastRenderedPageBreak/>
              <w:fldChar w:fldCharType="begin"/>
            </w:r>
            <w:r>
              <w:rPr>
                <w:rFonts w:asciiTheme="minorHAnsi" w:eastAsiaTheme="minorHAnsi" w:hAnsiTheme="minorHAnsi" w:cstheme="minorBidi"/>
                <w:b/>
                <w:color w:val="262626" w:themeColor="text1" w:themeTint="D9"/>
                <w:kern w:val="16"/>
                <w:szCs w:val="18"/>
              </w:rPr>
              <w:instrText xml:space="preserve"> HYPERLINK "http://www.cde.state.co.us/fedprograms/consultation-servicesforenglishlearners" </w:instrText>
            </w:r>
            <w:r>
              <w:rPr>
                <w:rFonts w:asciiTheme="minorHAnsi" w:eastAsiaTheme="minorHAnsi" w:hAnsiTheme="minorHAnsi" w:cstheme="minorBidi"/>
                <w:b/>
                <w:color w:val="262626" w:themeColor="text1" w:themeTint="D9"/>
                <w:kern w:val="16"/>
                <w:szCs w:val="18"/>
              </w:rPr>
              <w:fldChar w:fldCharType="separate"/>
            </w:r>
            <w:r w:rsidR="00724BB6" w:rsidRPr="00A15CC2">
              <w:rPr>
                <w:rStyle w:val="Hyperlink"/>
                <w:rFonts w:asciiTheme="minorHAnsi" w:eastAsiaTheme="minorHAnsi" w:hAnsiTheme="minorHAnsi" w:cstheme="minorBidi"/>
                <w:b/>
                <w:kern w:val="16"/>
                <w:szCs w:val="18"/>
              </w:rPr>
              <w:t>CDE Consultation:</w:t>
            </w:r>
          </w:p>
          <w:p w14:paraId="6898C829" w14:textId="089525E1" w:rsidR="00724BB6" w:rsidRPr="009B6DEA" w:rsidRDefault="00724BB6" w:rsidP="006A729C">
            <w:pPr>
              <w:spacing w:after="0" w:line="240" w:lineRule="auto"/>
              <w:contextualSpacing/>
              <w:rPr>
                <w:rFonts w:asciiTheme="minorHAnsi" w:eastAsiaTheme="minorHAnsi" w:hAnsiTheme="minorHAnsi" w:cstheme="minorBidi"/>
                <w:b/>
                <w:color w:val="262626" w:themeColor="text1" w:themeTint="D9"/>
                <w:kern w:val="16"/>
                <w:szCs w:val="18"/>
              </w:rPr>
            </w:pPr>
            <w:r w:rsidRPr="00A15CC2">
              <w:rPr>
                <w:rStyle w:val="Hyperlink"/>
                <w:rFonts w:asciiTheme="minorHAnsi" w:eastAsiaTheme="minorHAnsi" w:hAnsiTheme="minorHAnsi" w:cstheme="minorBidi"/>
                <w:b/>
                <w:kern w:val="16"/>
                <w:szCs w:val="18"/>
              </w:rPr>
              <w:t>Services for English Learners</w:t>
            </w:r>
            <w:r w:rsidR="00A15CC2">
              <w:rPr>
                <w:rFonts w:asciiTheme="minorHAnsi" w:eastAsiaTheme="minorHAnsi" w:hAnsiTheme="minorHAnsi" w:cstheme="minorBidi"/>
                <w:b/>
                <w:color w:val="262626" w:themeColor="text1" w:themeTint="D9"/>
                <w:kern w:val="16"/>
                <w:szCs w:val="18"/>
              </w:rPr>
              <w:fldChar w:fldCharType="end"/>
            </w:r>
          </w:p>
        </w:tc>
        <w:tc>
          <w:tcPr>
            <w:tcW w:w="4825" w:type="dxa"/>
            <w:tcMar>
              <w:top w:w="100" w:type="dxa"/>
              <w:left w:w="100" w:type="dxa"/>
              <w:bottom w:w="100" w:type="dxa"/>
              <w:right w:w="100" w:type="dxa"/>
            </w:tcMar>
          </w:tcPr>
          <w:p w14:paraId="4843AC34" w14:textId="77777777" w:rsidR="00724BB6" w:rsidRPr="00C05D9C" w:rsidRDefault="00724BB6" w:rsidP="006A729C">
            <w:pPr>
              <w:spacing w:after="0" w:line="240" w:lineRule="auto"/>
              <w:rPr>
                <w:sz w:val="20"/>
                <w:szCs w:val="20"/>
              </w:rPr>
            </w:pPr>
            <w:r w:rsidRPr="00C05D9C">
              <w:rPr>
                <w:rFonts w:eastAsiaTheme="minorHAnsi"/>
                <w:sz w:val="20"/>
                <w:szCs w:val="20"/>
              </w:rPr>
              <w:t xml:space="preserve">The Office of Culturally and Linguistically Diverse Education (CLDE) delivers a state-wide system of support for districts and schools in delivering programs that support English learners.  </w:t>
            </w:r>
            <w:r w:rsidRPr="00C05D9C">
              <w:rPr>
                <w:sz w:val="20"/>
                <w:szCs w:val="20"/>
              </w:rPr>
              <w:t>Understanding that each school and district are unique according to the needs of their English learners, the CLDE provides a variety of learning opportunities and services.</w:t>
            </w:r>
          </w:p>
          <w:p w14:paraId="67322287" w14:textId="77777777" w:rsidR="00724BB6" w:rsidRPr="00C05D9C" w:rsidRDefault="00724BB6" w:rsidP="006A729C">
            <w:pPr>
              <w:spacing w:after="0" w:line="240" w:lineRule="auto"/>
              <w:rPr>
                <w:sz w:val="20"/>
                <w:szCs w:val="20"/>
              </w:rPr>
            </w:pPr>
            <w:r w:rsidRPr="00C05D9C">
              <w:rPr>
                <w:i/>
                <w:sz w:val="20"/>
                <w:szCs w:val="20"/>
              </w:rPr>
              <w:t>Provided through the CDE Federal Programs office.</w:t>
            </w:r>
            <w:r w:rsidRPr="00C05D9C">
              <w:rPr>
                <w:sz w:val="20"/>
                <w:szCs w:val="20"/>
              </w:rPr>
              <w:t xml:space="preserve"> </w:t>
            </w:r>
          </w:p>
        </w:tc>
        <w:tc>
          <w:tcPr>
            <w:tcW w:w="1995" w:type="dxa"/>
            <w:vMerge/>
            <w:tcMar>
              <w:top w:w="100" w:type="dxa"/>
              <w:left w:w="100" w:type="dxa"/>
              <w:bottom w:w="100" w:type="dxa"/>
              <w:right w:w="100" w:type="dxa"/>
            </w:tcMar>
          </w:tcPr>
          <w:p w14:paraId="09637481" w14:textId="5F0A88A7" w:rsidR="00724BB6" w:rsidRPr="008C5AAE" w:rsidRDefault="00724BB6" w:rsidP="00897E25">
            <w:pPr>
              <w:spacing w:after="0"/>
              <w:rPr>
                <w:sz w:val="20"/>
                <w:szCs w:val="20"/>
              </w:rPr>
            </w:pPr>
          </w:p>
        </w:tc>
        <w:tc>
          <w:tcPr>
            <w:tcW w:w="1109" w:type="dxa"/>
            <w:vMerge/>
            <w:tcMar>
              <w:top w:w="100" w:type="dxa"/>
              <w:left w:w="100" w:type="dxa"/>
              <w:bottom w:w="100" w:type="dxa"/>
              <w:right w:w="100" w:type="dxa"/>
            </w:tcMar>
          </w:tcPr>
          <w:p w14:paraId="47793C13" w14:textId="42CA1EC1" w:rsidR="00724BB6" w:rsidRPr="008C5AAE" w:rsidRDefault="00724BB6" w:rsidP="006A729C">
            <w:pPr>
              <w:spacing w:after="0" w:line="240" w:lineRule="auto"/>
              <w:jc w:val="center"/>
              <w:rPr>
                <w:sz w:val="20"/>
                <w:szCs w:val="20"/>
              </w:rPr>
            </w:pPr>
          </w:p>
        </w:tc>
        <w:tc>
          <w:tcPr>
            <w:tcW w:w="1147" w:type="dxa"/>
            <w:vMerge/>
            <w:tcMar>
              <w:top w:w="100" w:type="dxa"/>
              <w:left w:w="100" w:type="dxa"/>
              <w:bottom w:w="100" w:type="dxa"/>
              <w:right w:w="100" w:type="dxa"/>
            </w:tcMar>
          </w:tcPr>
          <w:p w14:paraId="11027C1F" w14:textId="3E521537" w:rsidR="00724BB6" w:rsidRPr="00984532" w:rsidRDefault="00724BB6" w:rsidP="00C57ED2">
            <w:pPr>
              <w:jc w:val="center"/>
              <w:rPr>
                <w:i/>
                <w:sz w:val="20"/>
                <w:szCs w:val="20"/>
              </w:rPr>
            </w:pPr>
          </w:p>
        </w:tc>
      </w:tr>
      <w:tr w:rsidR="00724BB6" w:rsidRPr="008C5AAE" w14:paraId="3BC0E697" w14:textId="77777777" w:rsidTr="00873B63">
        <w:tc>
          <w:tcPr>
            <w:tcW w:w="1700" w:type="dxa"/>
            <w:shd w:val="clear" w:color="auto" w:fill="F4E4F4"/>
            <w:tcMar>
              <w:top w:w="100" w:type="dxa"/>
              <w:left w:w="100" w:type="dxa"/>
              <w:bottom w:w="100" w:type="dxa"/>
              <w:right w:w="100" w:type="dxa"/>
            </w:tcMar>
          </w:tcPr>
          <w:p w14:paraId="3A7DDBE2" w14:textId="73D33A2F" w:rsidR="00724BB6" w:rsidRPr="00A15CC2" w:rsidRDefault="00A15CC2" w:rsidP="009B6DEA">
            <w:pPr>
              <w:spacing w:after="0" w:line="240" w:lineRule="auto"/>
              <w:contextualSpacing/>
              <w:rPr>
                <w:rStyle w:val="Hyperlink"/>
                <w:rFonts w:asciiTheme="minorHAnsi" w:eastAsiaTheme="minorHAnsi" w:hAnsiTheme="minorHAnsi" w:cstheme="minorBidi"/>
                <w:b/>
                <w:kern w:val="16"/>
                <w:szCs w:val="18"/>
              </w:rPr>
            </w:pPr>
            <w:r>
              <w:rPr>
                <w:rFonts w:asciiTheme="minorHAnsi" w:eastAsiaTheme="minorHAnsi" w:hAnsiTheme="minorHAnsi" w:cstheme="minorBidi"/>
                <w:b/>
                <w:color w:val="262626" w:themeColor="text1" w:themeTint="D9"/>
                <w:kern w:val="16"/>
                <w:szCs w:val="18"/>
              </w:rPr>
              <w:fldChar w:fldCharType="begin"/>
            </w:r>
            <w:r>
              <w:rPr>
                <w:rFonts w:asciiTheme="minorHAnsi" w:eastAsiaTheme="minorHAnsi" w:hAnsiTheme="minorHAnsi" w:cstheme="minorBidi"/>
                <w:b/>
                <w:color w:val="262626" w:themeColor="text1" w:themeTint="D9"/>
                <w:kern w:val="16"/>
                <w:szCs w:val="18"/>
              </w:rPr>
              <w:instrText xml:space="preserve"> HYPERLINK "http://www.cde.state.co.us/fedprograms/consultation-servicesstudentsdisabilities" </w:instrText>
            </w:r>
            <w:r>
              <w:rPr>
                <w:rFonts w:asciiTheme="minorHAnsi" w:eastAsiaTheme="minorHAnsi" w:hAnsiTheme="minorHAnsi" w:cstheme="minorBidi"/>
                <w:b/>
                <w:color w:val="262626" w:themeColor="text1" w:themeTint="D9"/>
                <w:kern w:val="16"/>
                <w:szCs w:val="18"/>
              </w:rPr>
              <w:fldChar w:fldCharType="separate"/>
            </w:r>
            <w:r w:rsidR="00724BB6" w:rsidRPr="00A15CC2">
              <w:rPr>
                <w:rStyle w:val="Hyperlink"/>
                <w:rFonts w:asciiTheme="minorHAnsi" w:eastAsiaTheme="minorHAnsi" w:hAnsiTheme="minorHAnsi" w:cstheme="minorBidi"/>
                <w:b/>
                <w:kern w:val="16"/>
                <w:szCs w:val="18"/>
              </w:rPr>
              <w:t>CDE Consultation:</w:t>
            </w:r>
          </w:p>
          <w:p w14:paraId="09692E38" w14:textId="03650A14" w:rsidR="00724BB6" w:rsidRPr="009B6DEA" w:rsidRDefault="00724BB6" w:rsidP="009B6DEA">
            <w:pPr>
              <w:spacing w:after="0" w:line="240" w:lineRule="auto"/>
              <w:contextualSpacing/>
              <w:rPr>
                <w:rFonts w:asciiTheme="minorHAnsi" w:eastAsiaTheme="minorHAnsi" w:hAnsiTheme="minorHAnsi" w:cstheme="minorBidi"/>
                <w:b/>
                <w:color w:val="262626" w:themeColor="text1" w:themeTint="D9"/>
                <w:kern w:val="16"/>
                <w:szCs w:val="18"/>
              </w:rPr>
            </w:pPr>
            <w:r w:rsidRPr="00A15CC2">
              <w:rPr>
                <w:rStyle w:val="Hyperlink"/>
                <w:rFonts w:asciiTheme="minorHAnsi" w:eastAsiaTheme="minorHAnsi" w:hAnsiTheme="minorHAnsi" w:cstheme="minorBidi"/>
                <w:b/>
                <w:kern w:val="16"/>
                <w:szCs w:val="18"/>
              </w:rPr>
              <w:t>Services for Students with Disabilities</w:t>
            </w:r>
            <w:r w:rsidR="00A15CC2">
              <w:rPr>
                <w:rFonts w:asciiTheme="minorHAnsi" w:eastAsiaTheme="minorHAnsi" w:hAnsiTheme="minorHAnsi" w:cstheme="minorBidi"/>
                <w:b/>
                <w:color w:val="262626" w:themeColor="text1" w:themeTint="D9"/>
                <w:kern w:val="16"/>
                <w:szCs w:val="18"/>
              </w:rPr>
              <w:fldChar w:fldCharType="end"/>
            </w:r>
          </w:p>
        </w:tc>
        <w:tc>
          <w:tcPr>
            <w:tcW w:w="4825" w:type="dxa"/>
            <w:tcMar>
              <w:top w:w="100" w:type="dxa"/>
              <w:left w:w="100" w:type="dxa"/>
              <w:bottom w:w="100" w:type="dxa"/>
              <w:right w:w="100" w:type="dxa"/>
            </w:tcMar>
          </w:tcPr>
          <w:p w14:paraId="231EC7E7" w14:textId="3F6B1898" w:rsidR="00724BB6" w:rsidRPr="00807A57" w:rsidRDefault="00724BB6" w:rsidP="006A729C">
            <w:pPr>
              <w:spacing w:after="0" w:line="240" w:lineRule="auto"/>
              <w:rPr>
                <w:sz w:val="20"/>
                <w:szCs w:val="20"/>
              </w:rPr>
            </w:pPr>
            <w:r w:rsidRPr="00807A57">
              <w:rPr>
                <w:rFonts w:eastAsiaTheme="minorHAnsi"/>
                <w:sz w:val="20"/>
                <w:szCs w:val="20"/>
              </w:rPr>
              <w:t>The staff of the Exceptional Student Services Unit’s (ESSU) Office of Special Education is available to support districts and administrative units (AU) with consultative services to help them build capacity to meet the needs of students with disabilities. Understanding that schools, districts, and AU’s are unique according to the needs of their students, the staff of the ESSU is available to provide direct and/or indirect support to schools in identifying evidenced-based practices for improved outcomes.</w:t>
            </w:r>
            <w:r>
              <w:rPr>
                <w:rFonts w:eastAsiaTheme="minorHAnsi"/>
                <w:sz w:val="20"/>
                <w:szCs w:val="20"/>
              </w:rPr>
              <w:t xml:space="preserve">  These supports target schools </w:t>
            </w:r>
            <w:r w:rsidRPr="00807A57">
              <w:rPr>
                <w:rFonts w:eastAsiaTheme="minorHAnsi"/>
                <w:sz w:val="20"/>
                <w:szCs w:val="20"/>
              </w:rPr>
              <w:t xml:space="preserve">identified </w:t>
            </w:r>
            <w:r>
              <w:rPr>
                <w:rFonts w:eastAsiaTheme="minorHAnsi"/>
                <w:sz w:val="20"/>
                <w:szCs w:val="20"/>
              </w:rPr>
              <w:t>for</w:t>
            </w:r>
            <w:r w:rsidRPr="00807A57">
              <w:rPr>
                <w:rFonts w:eastAsiaTheme="minorHAnsi"/>
                <w:sz w:val="20"/>
                <w:szCs w:val="20"/>
              </w:rPr>
              <w:t xml:space="preserve"> CS or TS based on low performance or low graduation rates of students with disabilities</w:t>
            </w:r>
          </w:p>
          <w:p w14:paraId="6EE7AD2D" w14:textId="77777777" w:rsidR="00724BB6" w:rsidRPr="00807A57" w:rsidRDefault="00724BB6" w:rsidP="00B174F9">
            <w:pPr>
              <w:spacing w:after="0" w:line="240" w:lineRule="auto"/>
              <w:rPr>
                <w:sz w:val="20"/>
                <w:szCs w:val="20"/>
              </w:rPr>
            </w:pPr>
            <w:r w:rsidRPr="00807A57">
              <w:rPr>
                <w:i/>
                <w:sz w:val="20"/>
                <w:szCs w:val="20"/>
              </w:rPr>
              <w:t>Provided through the CDE Exceptional Students Services office.</w:t>
            </w:r>
          </w:p>
        </w:tc>
        <w:tc>
          <w:tcPr>
            <w:tcW w:w="1995" w:type="dxa"/>
            <w:vMerge/>
            <w:tcMar>
              <w:top w:w="100" w:type="dxa"/>
              <w:left w:w="100" w:type="dxa"/>
              <w:bottom w:w="100" w:type="dxa"/>
              <w:right w:w="100" w:type="dxa"/>
            </w:tcMar>
          </w:tcPr>
          <w:p w14:paraId="48EB8365" w14:textId="280DB271" w:rsidR="00724BB6" w:rsidRPr="00807A57" w:rsidRDefault="00724BB6" w:rsidP="00897E25">
            <w:pPr>
              <w:spacing w:after="0"/>
              <w:rPr>
                <w:sz w:val="20"/>
                <w:szCs w:val="20"/>
              </w:rPr>
            </w:pPr>
          </w:p>
        </w:tc>
        <w:tc>
          <w:tcPr>
            <w:tcW w:w="1109" w:type="dxa"/>
            <w:vMerge/>
            <w:tcMar>
              <w:top w:w="100" w:type="dxa"/>
              <w:left w:w="100" w:type="dxa"/>
              <w:bottom w:w="100" w:type="dxa"/>
              <w:right w:w="100" w:type="dxa"/>
            </w:tcMar>
          </w:tcPr>
          <w:p w14:paraId="0E1C90D6" w14:textId="444A1824" w:rsidR="00724BB6" w:rsidRPr="008C5AAE" w:rsidRDefault="00724BB6" w:rsidP="006A729C">
            <w:pPr>
              <w:spacing w:after="0" w:line="240" w:lineRule="auto"/>
              <w:jc w:val="center"/>
              <w:rPr>
                <w:sz w:val="20"/>
                <w:szCs w:val="20"/>
              </w:rPr>
            </w:pPr>
          </w:p>
        </w:tc>
        <w:tc>
          <w:tcPr>
            <w:tcW w:w="1147" w:type="dxa"/>
            <w:vMerge/>
            <w:tcMar>
              <w:top w:w="100" w:type="dxa"/>
              <w:left w:w="100" w:type="dxa"/>
              <w:bottom w:w="100" w:type="dxa"/>
              <w:right w:w="100" w:type="dxa"/>
            </w:tcMar>
          </w:tcPr>
          <w:p w14:paraId="78ED1EBB" w14:textId="7ADA47C1" w:rsidR="00724BB6" w:rsidRPr="00F46161" w:rsidRDefault="00724BB6" w:rsidP="00C57ED2">
            <w:pPr>
              <w:jc w:val="center"/>
              <w:rPr>
                <w:sz w:val="20"/>
                <w:szCs w:val="20"/>
              </w:rPr>
            </w:pPr>
          </w:p>
        </w:tc>
      </w:tr>
      <w:tr w:rsidR="00724BB6" w:rsidRPr="008C5AAE" w14:paraId="1F22CD66" w14:textId="77777777" w:rsidTr="00873B63">
        <w:tc>
          <w:tcPr>
            <w:tcW w:w="1700" w:type="dxa"/>
            <w:shd w:val="clear" w:color="auto" w:fill="F4E4F4"/>
            <w:tcMar>
              <w:top w:w="100" w:type="dxa"/>
              <w:left w:w="100" w:type="dxa"/>
              <w:bottom w:w="100" w:type="dxa"/>
              <w:right w:w="100" w:type="dxa"/>
            </w:tcMar>
          </w:tcPr>
          <w:p w14:paraId="725B1607" w14:textId="1D0C474E" w:rsidR="00724BB6" w:rsidRPr="00A15CC2" w:rsidRDefault="00A15CC2" w:rsidP="009B6DEA">
            <w:pPr>
              <w:spacing w:after="0" w:line="240" w:lineRule="auto"/>
              <w:contextualSpacing/>
              <w:rPr>
                <w:rStyle w:val="Hyperlink"/>
                <w:rFonts w:asciiTheme="minorHAnsi" w:eastAsiaTheme="minorHAnsi" w:hAnsiTheme="minorHAnsi" w:cstheme="minorBidi"/>
                <w:b/>
                <w:kern w:val="16"/>
                <w:szCs w:val="18"/>
              </w:rPr>
            </w:pPr>
            <w:r>
              <w:rPr>
                <w:rFonts w:asciiTheme="minorHAnsi" w:eastAsiaTheme="minorHAnsi" w:hAnsiTheme="minorHAnsi" w:cstheme="minorBidi"/>
                <w:b/>
                <w:color w:val="262626" w:themeColor="text1" w:themeTint="D9"/>
                <w:kern w:val="16"/>
                <w:szCs w:val="18"/>
              </w:rPr>
              <w:fldChar w:fldCharType="begin"/>
            </w:r>
            <w:r>
              <w:rPr>
                <w:rFonts w:asciiTheme="minorHAnsi" w:eastAsiaTheme="minorHAnsi" w:hAnsiTheme="minorHAnsi" w:cstheme="minorBidi"/>
                <w:b/>
                <w:color w:val="262626" w:themeColor="text1" w:themeTint="D9"/>
                <w:kern w:val="16"/>
                <w:szCs w:val="18"/>
              </w:rPr>
              <w:instrText xml:space="preserve"> HYPERLINK "http://www.cde.state.co.us/fedprograms/consultation-earlyliteracy" </w:instrText>
            </w:r>
            <w:r>
              <w:rPr>
                <w:rFonts w:asciiTheme="minorHAnsi" w:eastAsiaTheme="minorHAnsi" w:hAnsiTheme="minorHAnsi" w:cstheme="minorBidi"/>
                <w:b/>
                <w:color w:val="262626" w:themeColor="text1" w:themeTint="D9"/>
                <w:kern w:val="16"/>
                <w:szCs w:val="18"/>
              </w:rPr>
              <w:fldChar w:fldCharType="separate"/>
            </w:r>
            <w:r w:rsidR="00724BB6" w:rsidRPr="00A15CC2">
              <w:rPr>
                <w:rStyle w:val="Hyperlink"/>
                <w:rFonts w:asciiTheme="minorHAnsi" w:eastAsiaTheme="minorHAnsi" w:hAnsiTheme="minorHAnsi" w:cstheme="minorBidi"/>
                <w:b/>
                <w:kern w:val="16"/>
                <w:szCs w:val="18"/>
              </w:rPr>
              <w:t>CDE Consultation:</w:t>
            </w:r>
          </w:p>
          <w:p w14:paraId="2B690F51" w14:textId="290BA798" w:rsidR="00724BB6" w:rsidRPr="009B6DEA" w:rsidRDefault="00724BB6" w:rsidP="009B6DEA">
            <w:pPr>
              <w:spacing w:after="0" w:line="240" w:lineRule="auto"/>
              <w:contextualSpacing/>
              <w:rPr>
                <w:rFonts w:asciiTheme="minorHAnsi" w:eastAsiaTheme="minorHAnsi" w:hAnsiTheme="minorHAnsi" w:cstheme="minorBidi"/>
                <w:b/>
                <w:color w:val="262626" w:themeColor="text1" w:themeTint="D9"/>
                <w:kern w:val="16"/>
                <w:szCs w:val="18"/>
              </w:rPr>
            </w:pPr>
            <w:r w:rsidRPr="00A15CC2">
              <w:rPr>
                <w:rStyle w:val="Hyperlink"/>
                <w:rFonts w:asciiTheme="minorHAnsi" w:eastAsiaTheme="minorHAnsi" w:hAnsiTheme="minorHAnsi" w:cstheme="minorBidi"/>
                <w:b/>
                <w:kern w:val="16"/>
                <w:szCs w:val="18"/>
              </w:rPr>
              <w:t>Early Literacy</w:t>
            </w:r>
            <w:r w:rsidR="00A15CC2">
              <w:rPr>
                <w:rFonts w:asciiTheme="minorHAnsi" w:eastAsiaTheme="minorHAnsi" w:hAnsiTheme="minorHAnsi" w:cstheme="minorBidi"/>
                <w:b/>
                <w:color w:val="262626" w:themeColor="text1" w:themeTint="D9"/>
                <w:kern w:val="16"/>
                <w:szCs w:val="18"/>
              </w:rPr>
              <w:fldChar w:fldCharType="end"/>
            </w:r>
          </w:p>
        </w:tc>
        <w:tc>
          <w:tcPr>
            <w:tcW w:w="4825" w:type="dxa"/>
            <w:tcMar>
              <w:top w:w="100" w:type="dxa"/>
              <w:left w:w="100" w:type="dxa"/>
              <w:bottom w:w="100" w:type="dxa"/>
              <w:right w:w="100" w:type="dxa"/>
            </w:tcMar>
          </w:tcPr>
          <w:p w14:paraId="787D6B2B" w14:textId="77777777" w:rsidR="00724BB6" w:rsidRPr="00807A57" w:rsidRDefault="00724BB6" w:rsidP="006A729C">
            <w:pPr>
              <w:spacing w:after="0" w:line="240" w:lineRule="auto"/>
              <w:rPr>
                <w:sz w:val="20"/>
                <w:szCs w:val="20"/>
              </w:rPr>
            </w:pPr>
            <w:r w:rsidRPr="00807A57">
              <w:rPr>
                <w:rFonts w:eastAsiaTheme="minorHAnsi"/>
                <w:sz w:val="20"/>
                <w:szCs w:val="20"/>
              </w:rPr>
              <w:t>The Office of Literacy is primarily responsible for the implementation of state policy - the Colorado Reading to Ensure Academic Development Act. The READ Act offers K-3 technical assistance to any school or LEA in the state through professional development and consultation delivered by Regional Literacy Consultants</w:t>
            </w:r>
            <w:r>
              <w:rPr>
                <w:sz w:val="20"/>
                <w:szCs w:val="20"/>
                <w:highlight w:val="white"/>
              </w:rPr>
              <w:t>.</w:t>
            </w:r>
          </w:p>
          <w:p w14:paraId="7E853B2A" w14:textId="77777777" w:rsidR="00724BB6" w:rsidRPr="00807A57" w:rsidRDefault="00724BB6" w:rsidP="00B174F9">
            <w:pPr>
              <w:spacing w:after="0" w:line="240" w:lineRule="auto"/>
              <w:rPr>
                <w:sz w:val="20"/>
                <w:szCs w:val="20"/>
              </w:rPr>
            </w:pPr>
            <w:r w:rsidRPr="00807A57">
              <w:rPr>
                <w:i/>
                <w:sz w:val="20"/>
                <w:szCs w:val="20"/>
              </w:rPr>
              <w:t>Provided through the CDE Literacy office.</w:t>
            </w:r>
          </w:p>
        </w:tc>
        <w:tc>
          <w:tcPr>
            <w:tcW w:w="1995" w:type="dxa"/>
            <w:vMerge/>
            <w:tcMar>
              <w:top w:w="100" w:type="dxa"/>
              <w:left w:w="100" w:type="dxa"/>
              <w:bottom w:w="100" w:type="dxa"/>
              <w:right w:w="100" w:type="dxa"/>
            </w:tcMar>
          </w:tcPr>
          <w:p w14:paraId="583BC5D9" w14:textId="46EA330F" w:rsidR="00724BB6" w:rsidRPr="00807A57" w:rsidRDefault="00724BB6" w:rsidP="00897E25">
            <w:pPr>
              <w:spacing w:after="0"/>
              <w:rPr>
                <w:sz w:val="20"/>
                <w:szCs w:val="20"/>
              </w:rPr>
            </w:pPr>
          </w:p>
        </w:tc>
        <w:tc>
          <w:tcPr>
            <w:tcW w:w="1109" w:type="dxa"/>
            <w:vMerge/>
            <w:tcMar>
              <w:top w:w="100" w:type="dxa"/>
              <w:left w:w="100" w:type="dxa"/>
              <w:bottom w:w="100" w:type="dxa"/>
              <w:right w:w="100" w:type="dxa"/>
            </w:tcMar>
          </w:tcPr>
          <w:p w14:paraId="0821FEF6" w14:textId="4884D693" w:rsidR="00724BB6" w:rsidRPr="008C5AAE" w:rsidRDefault="00724BB6" w:rsidP="006A729C">
            <w:pPr>
              <w:spacing w:after="0" w:line="240" w:lineRule="auto"/>
              <w:jc w:val="center"/>
              <w:rPr>
                <w:sz w:val="20"/>
                <w:szCs w:val="20"/>
              </w:rPr>
            </w:pPr>
          </w:p>
        </w:tc>
        <w:tc>
          <w:tcPr>
            <w:tcW w:w="1147" w:type="dxa"/>
            <w:vMerge/>
            <w:tcMar>
              <w:top w:w="100" w:type="dxa"/>
              <w:left w:w="100" w:type="dxa"/>
              <w:bottom w:w="100" w:type="dxa"/>
              <w:right w:w="100" w:type="dxa"/>
            </w:tcMar>
          </w:tcPr>
          <w:p w14:paraId="3DA93353" w14:textId="3653527A" w:rsidR="00724BB6" w:rsidRPr="008C5AAE" w:rsidRDefault="00724BB6" w:rsidP="00C57ED2">
            <w:pPr>
              <w:jc w:val="center"/>
              <w:rPr>
                <w:sz w:val="20"/>
                <w:szCs w:val="20"/>
              </w:rPr>
            </w:pPr>
          </w:p>
        </w:tc>
      </w:tr>
      <w:tr w:rsidR="00724BB6" w:rsidRPr="008C5AAE" w14:paraId="0306C2D6" w14:textId="77777777" w:rsidTr="00873B63">
        <w:trPr>
          <w:trHeight w:val="1996"/>
        </w:trPr>
        <w:tc>
          <w:tcPr>
            <w:tcW w:w="1700" w:type="dxa"/>
            <w:shd w:val="clear" w:color="auto" w:fill="F4E4F4"/>
            <w:tcMar>
              <w:top w:w="100" w:type="dxa"/>
              <w:left w:w="100" w:type="dxa"/>
              <w:bottom w:w="100" w:type="dxa"/>
              <w:right w:w="100" w:type="dxa"/>
            </w:tcMar>
          </w:tcPr>
          <w:p w14:paraId="152E7828" w14:textId="0B2B91FF" w:rsidR="00724BB6" w:rsidRPr="00A15CC2" w:rsidRDefault="00A15CC2" w:rsidP="009B6DEA">
            <w:pPr>
              <w:spacing w:after="0" w:line="240" w:lineRule="auto"/>
              <w:contextualSpacing/>
              <w:rPr>
                <w:rStyle w:val="Hyperlink"/>
                <w:rFonts w:asciiTheme="minorHAnsi" w:eastAsiaTheme="minorHAnsi" w:hAnsiTheme="minorHAnsi" w:cstheme="minorBidi"/>
                <w:b/>
                <w:kern w:val="16"/>
                <w:szCs w:val="18"/>
              </w:rPr>
            </w:pPr>
            <w:r>
              <w:rPr>
                <w:rFonts w:asciiTheme="minorHAnsi" w:eastAsiaTheme="minorHAnsi" w:hAnsiTheme="minorHAnsi" w:cstheme="minorBidi"/>
                <w:b/>
                <w:color w:val="262626" w:themeColor="text1" w:themeTint="D9"/>
                <w:kern w:val="16"/>
                <w:szCs w:val="18"/>
              </w:rPr>
              <w:fldChar w:fldCharType="begin"/>
            </w:r>
            <w:r>
              <w:rPr>
                <w:rFonts w:asciiTheme="minorHAnsi" w:eastAsiaTheme="minorHAnsi" w:hAnsiTheme="minorHAnsi" w:cstheme="minorBidi"/>
                <w:b/>
                <w:color w:val="262626" w:themeColor="text1" w:themeTint="D9"/>
                <w:kern w:val="16"/>
                <w:szCs w:val="18"/>
              </w:rPr>
              <w:instrText xml:space="preserve"> HYPERLINK "http://www.cde.state.co.us/fedprograms/consultation-schoolboardtraining" </w:instrText>
            </w:r>
            <w:r>
              <w:rPr>
                <w:rFonts w:asciiTheme="minorHAnsi" w:eastAsiaTheme="minorHAnsi" w:hAnsiTheme="minorHAnsi" w:cstheme="minorBidi"/>
                <w:b/>
                <w:color w:val="262626" w:themeColor="text1" w:themeTint="D9"/>
                <w:kern w:val="16"/>
                <w:szCs w:val="18"/>
              </w:rPr>
              <w:fldChar w:fldCharType="separate"/>
            </w:r>
            <w:r w:rsidR="00724BB6" w:rsidRPr="00A15CC2">
              <w:rPr>
                <w:rStyle w:val="Hyperlink"/>
                <w:rFonts w:asciiTheme="minorHAnsi" w:eastAsiaTheme="minorHAnsi" w:hAnsiTheme="minorHAnsi" w:cstheme="minorBidi"/>
                <w:b/>
                <w:kern w:val="16"/>
                <w:szCs w:val="18"/>
              </w:rPr>
              <w:t>CDE Consultation:</w:t>
            </w:r>
          </w:p>
          <w:p w14:paraId="32C44F8E" w14:textId="3D6DEE6A" w:rsidR="00724BB6" w:rsidRPr="009B6DEA" w:rsidRDefault="00724BB6" w:rsidP="009B6DEA">
            <w:pPr>
              <w:spacing w:after="0" w:line="240" w:lineRule="auto"/>
              <w:contextualSpacing/>
              <w:rPr>
                <w:rFonts w:asciiTheme="minorHAnsi" w:eastAsiaTheme="minorHAnsi" w:hAnsiTheme="minorHAnsi" w:cstheme="minorBidi"/>
                <w:b/>
                <w:color w:val="262626" w:themeColor="text1" w:themeTint="D9"/>
                <w:kern w:val="16"/>
                <w:szCs w:val="18"/>
              </w:rPr>
            </w:pPr>
            <w:r w:rsidRPr="00A15CC2">
              <w:rPr>
                <w:rStyle w:val="Hyperlink"/>
                <w:rFonts w:asciiTheme="minorHAnsi" w:eastAsiaTheme="minorHAnsi" w:hAnsiTheme="minorHAnsi" w:cstheme="minorBidi"/>
                <w:b/>
                <w:kern w:val="16"/>
                <w:szCs w:val="18"/>
              </w:rPr>
              <w:t>School Board Training</w:t>
            </w:r>
            <w:r w:rsidR="00A15CC2">
              <w:rPr>
                <w:rFonts w:asciiTheme="minorHAnsi" w:eastAsiaTheme="minorHAnsi" w:hAnsiTheme="minorHAnsi" w:cstheme="minorBidi"/>
                <w:b/>
                <w:color w:val="262626" w:themeColor="text1" w:themeTint="D9"/>
                <w:kern w:val="16"/>
                <w:szCs w:val="18"/>
              </w:rPr>
              <w:fldChar w:fldCharType="end"/>
            </w:r>
          </w:p>
        </w:tc>
        <w:tc>
          <w:tcPr>
            <w:tcW w:w="4825" w:type="dxa"/>
            <w:tcMar>
              <w:top w:w="100" w:type="dxa"/>
              <w:left w:w="100" w:type="dxa"/>
              <w:bottom w:w="100" w:type="dxa"/>
              <w:right w:w="100" w:type="dxa"/>
            </w:tcMar>
          </w:tcPr>
          <w:p w14:paraId="68C29020" w14:textId="7EE565B9" w:rsidR="00724BB6" w:rsidRPr="00724BB6" w:rsidRDefault="00724BB6" w:rsidP="00B174F9">
            <w:pPr>
              <w:spacing w:after="0"/>
              <w:rPr>
                <w:rFonts w:eastAsiaTheme="minorHAnsi"/>
                <w:sz w:val="20"/>
                <w:szCs w:val="20"/>
              </w:rPr>
            </w:pPr>
            <w:r w:rsidRPr="002F7214">
              <w:rPr>
                <w:rFonts w:eastAsiaTheme="minorHAnsi"/>
                <w:sz w:val="20"/>
                <w:szCs w:val="20"/>
              </w:rPr>
              <w:t>In partnership with the Center on School Turnaround, CDE will offer support and consultation for local school boards to build their own capacity to set effective policy and practices in support of low-performing schools.</w:t>
            </w:r>
            <w:r>
              <w:rPr>
                <w:rFonts w:eastAsiaTheme="minorHAnsi"/>
                <w:sz w:val="20"/>
                <w:szCs w:val="20"/>
              </w:rPr>
              <w:t xml:space="preserve">  This can span 6-12 months and boards can proceed at their own pace.</w:t>
            </w:r>
          </w:p>
          <w:p w14:paraId="3E6EBE5B" w14:textId="77777777" w:rsidR="00724BB6" w:rsidRPr="002F7214" w:rsidRDefault="00724BB6" w:rsidP="00B174F9">
            <w:pPr>
              <w:spacing w:after="0"/>
              <w:rPr>
                <w:sz w:val="20"/>
                <w:szCs w:val="20"/>
              </w:rPr>
            </w:pPr>
            <w:r w:rsidRPr="002F7214">
              <w:rPr>
                <w:i/>
                <w:sz w:val="20"/>
                <w:szCs w:val="20"/>
              </w:rPr>
              <w:t>Provided through the CDE School and District Performance office.</w:t>
            </w:r>
          </w:p>
        </w:tc>
        <w:tc>
          <w:tcPr>
            <w:tcW w:w="1995" w:type="dxa"/>
            <w:vMerge/>
            <w:tcMar>
              <w:top w:w="100" w:type="dxa"/>
              <w:left w:w="100" w:type="dxa"/>
              <w:bottom w:w="100" w:type="dxa"/>
              <w:right w:w="100" w:type="dxa"/>
            </w:tcMar>
          </w:tcPr>
          <w:p w14:paraId="6819C9A2" w14:textId="0A84C7C8" w:rsidR="00724BB6" w:rsidRPr="002F7214" w:rsidRDefault="00724BB6" w:rsidP="00897E25">
            <w:pPr>
              <w:spacing w:after="0"/>
              <w:rPr>
                <w:sz w:val="20"/>
                <w:szCs w:val="20"/>
              </w:rPr>
            </w:pPr>
          </w:p>
        </w:tc>
        <w:tc>
          <w:tcPr>
            <w:tcW w:w="1109" w:type="dxa"/>
            <w:vMerge/>
            <w:tcMar>
              <w:top w:w="100" w:type="dxa"/>
              <w:left w:w="100" w:type="dxa"/>
              <w:bottom w:w="100" w:type="dxa"/>
              <w:right w:w="100" w:type="dxa"/>
            </w:tcMar>
          </w:tcPr>
          <w:p w14:paraId="405947EF" w14:textId="417C5B59" w:rsidR="00724BB6" w:rsidRPr="006A729C" w:rsidRDefault="00724BB6" w:rsidP="006A729C">
            <w:pPr>
              <w:rPr>
                <w:sz w:val="20"/>
                <w:szCs w:val="20"/>
              </w:rPr>
            </w:pPr>
          </w:p>
        </w:tc>
        <w:tc>
          <w:tcPr>
            <w:tcW w:w="1147" w:type="dxa"/>
            <w:vMerge/>
            <w:tcMar>
              <w:top w:w="100" w:type="dxa"/>
              <w:left w:w="100" w:type="dxa"/>
              <w:bottom w:w="100" w:type="dxa"/>
              <w:right w:w="100" w:type="dxa"/>
            </w:tcMar>
          </w:tcPr>
          <w:p w14:paraId="7D7B6CB8" w14:textId="26FF8EFD" w:rsidR="00724BB6" w:rsidRPr="006A729C" w:rsidRDefault="00724BB6" w:rsidP="00C57ED2">
            <w:pPr>
              <w:jc w:val="center"/>
              <w:rPr>
                <w:sz w:val="20"/>
                <w:szCs w:val="20"/>
              </w:rPr>
            </w:pPr>
          </w:p>
        </w:tc>
      </w:tr>
    </w:tbl>
    <w:tbl>
      <w:tblPr>
        <w:tblStyle w:val="TableGrid"/>
        <w:tblW w:w="10795" w:type="dxa"/>
        <w:tblLayout w:type="fixed"/>
        <w:tblLook w:val="04A0" w:firstRow="1" w:lastRow="0" w:firstColumn="1" w:lastColumn="0" w:noHBand="0" w:noVBand="1"/>
        <w:tblCaption w:val="Exloration Supports Table "/>
      </w:tblPr>
      <w:tblGrid>
        <w:gridCol w:w="10795"/>
      </w:tblGrid>
      <w:tr w:rsidR="00AE018A" w14:paraId="33E17C76" w14:textId="77777777" w:rsidTr="00974CDB">
        <w:trPr>
          <w:trHeight w:val="1619"/>
          <w:tblHeader/>
        </w:trPr>
        <w:tc>
          <w:tcPr>
            <w:tcW w:w="10795" w:type="dxa"/>
          </w:tcPr>
          <w:p w14:paraId="602340F1" w14:textId="77777777" w:rsidR="00AE018A" w:rsidRPr="00697CB0" w:rsidRDefault="00AE018A" w:rsidP="00D4317E">
            <w:pPr>
              <w:rPr>
                <w:i/>
                <w:sz w:val="20"/>
                <w:szCs w:val="20"/>
              </w:rPr>
            </w:pPr>
            <w:r w:rsidRPr="00697CB0">
              <w:rPr>
                <w:b/>
                <w:i/>
                <w:sz w:val="20"/>
                <w:szCs w:val="20"/>
              </w:rPr>
              <w:t>*Eligibility notes</w:t>
            </w:r>
            <w:r w:rsidRPr="00697CB0">
              <w:rPr>
                <w:i/>
                <w:sz w:val="20"/>
                <w:szCs w:val="20"/>
              </w:rPr>
              <w:t>:</w:t>
            </w:r>
          </w:p>
          <w:p w14:paraId="437F501E" w14:textId="77777777" w:rsidR="00AE018A" w:rsidRPr="00CF409A" w:rsidRDefault="00AE018A" w:rsidP="00861158">
            <w:pPr>
              <w:numPr>
                <w:ilvl w:val="0"/>
                <w:numId w:val="1"/>
              </w:numPr>
              <w:ind w:left="337" w:hanging="247"/>
              <w:contextualSpacing/>
              <w:rPr>
                <w:i/>
                <w:sz w:val="20"/>
                <w:szCs w:val="20"/>
              </w:rPr>
            </w:pPr>
            <w:r w:rsidRPr="00CF409A">
              <w:rPr>
                <w:i/>
                <w:sz w:val="20"/>
                <w:szCs w:val="20"/>
              </w:rPr>
              <w:t>CS – schools identified for Comprehensive Supports and Improvement through ESSA</w:t>
            </w:r>
          </w:p>
          <w:p w14:paraId="06315E54" w14:textId="77777777" w:rsidR="00AE018A" w:rsidRPr="00697CB0" w:rsidRDefault="00AE018A" w:rsidP="00CF409A">
            <w:pPr>
              <w:numPr>
                <w:ilvl w:val="0"/>
                <w:numId w:val="1"/>
              </w:numPr>
              <w:ind w:left="337" w:hanging="247"/>
              <w:contextualSpacing/>
              <w:rPr>
                <w:i/>
                <w:sz w:val="20"/>
                <w:szCs w:val="20"/>
              </w:rPr>
            </w:pPr>
            <w:r w:rsidRPr="00697CB0">
              <w:rPr>
                <w:i/>
                <w:sz w:val="20"/>
                <w:szCs w:val="20"/>
              </w:rPr>
              <w:t>TS – schools identified for Targeted Supports and Improvement through ESSA</w:t>
            </w:r>
          </w:p>
          <w:p w14:paraId="2EFC5E4F" w14:textId="77777777" w:rsidR="00AE018A" w:rsidRPr="00697CB0" w:rsidRDefault="00AE018A" w:rsidP="00697CB0">
            <w:pPr>
              <w:numPr>
                <w:ilvl w:val="0"/>
                <w:numId w:val="1"/>
              </w:numPr>
              <w:ind w:left="337" w:hanging="247"/>
              <w:contextualSpacing/>
              <w:rPr>
                <w:i/>
                <w:sz w:val="20"/>
                <w:szCs w:val="20"/>
              </w:rPr>
            </w:pPr>
            <w:r w:rsidRPr="00697CB0">
              <w:rPr>
                <w:i/>
                <w:sz w:val="20"/>
                <w:szCs w:val="20"/>
              </w:rPr>
              <w:t>PI – districts or schools with a state accountability rating of Priority Improvement</w:t>
            </w:r>
          </w:p>
          <w:p w14:paraId="22BAD378" w14:textId="77777777" w:rsidR="00AE018A" w:rsidRDefault="00AE018A" w:rsidP="00CF409A">
            <w:pPr>
              <w:numPr>
                <w:ilvl w:val="0"/>
                <w:numId w:val="1"/>
              </w:numPr>
              <w:ind w:left="337" w:hanging="247"/>
              <w:contextualSpacing/>
              <w:rPr>
                <w:i/>
                <w:sz w:val="20"/>
                <w:szCs w:val="20"/>
              </w:rPr>
            </w:pPr>
            <w:r w:rsidRPr="00697CB0">
              <w:rPr>
                <w:i/>
                <w:sz w:val="20"/>
                <w:szCs w:val="20"/>
              </w:rPr>
              <w:t>T - districts or schools with a state accountability rating of Turnaround</w:t>
            </w:r>
          </w:p>
          <w:p w14:paraId="5CBC038F" w14:textId="744F631B" w:rsidR="00AE018A" w:rsidRPr="00CF409A" w:rsidRDefault="00AE018A" w:rsidP="00AE018A">
            <w:pPr>
              <w:contextualSpacing/>
              <w:rPr>
                <w:i/>
                <w:sz w:val="20"/>
                <w:szCs w:val="20"/>
              </w:rPr>
            </w:pPr>
            <w:r>
              <w:rPr>
                <w:i/>
                <w:sz w:val="20"/>
                <w:szCs w:val="20"/>
              </w:rPr>
              <w:t>See detailed support description sheets for prioritization specific to each support structure.</w:t>
            </w:r>
          </w:p>
        </w:tc>
      </w:tr>
      <w:tr w:rsidR="00AE018A" w14:paraId="22640220" w14:textId="77777777" w:rsidTr="00AE018A">
        <w:trPr>
          <w:trHeight w:val="521"/>
        </w:trPr>
        <w:tc>
          <w:tcPr>
            <w:tcW w:w="10795" w:type="dxa"/>
          </w:tcPr>
          <w:p w14:paraId="2FEEF923" w14:textId="77777777" w:rsidR="00AE018A" w:rsidRPr="00697CB0" w:rsidRDefault="00AE018A" w:rsidP="00AE018A">
            <w:pPr>
              <w:rPr>
                <w:b/>
                <w:i/>
                <w:sz w:val="20"/>
                <w:szCs w:val="20"/>
              </w:rPr>
            </w:pPr>
            <w:r w:rsidRPr="00697CB0">
              <w:rPr>
                <w:b/>
                <w:i/>
                <w:sz w:val="20"/>
                <w:szCs w:val="20"/>
              </w:rPr>
              <w:t xml:space="preserve">**Funding Notes: </w:t>
            </w:r>
          </w:p>
          <w:p w14:paraId="2D2292BC" w14:textId="7DD875E0" w:rsidR="00AE018A" w:rsidRPr="00697CB0" w:rsidRDefault="00AE018A" w:rsidP="00AE018A">
            <w:pPr>
              <w:rPr>
                <w:b/>
                <w:i/>
                <w:sz w:val="20"/>
                <w:szCs w:val="20"/>
              </w:rPr>
            </w:pPr>
            <w:r w:rsidRPr="00697CB0">
              <w:rPr>
                <w:i/>
                <w:sz w:val="20"/>
                <w:szCs w:val="20"/>
              </w:rPr>
              <w:t>Only schools identified for CS or TS are eligible for ESSA funding</w:t>
            </w:r>
          </w:p>
        </w:tc>
      </w:tr>
    </w:tbl>
    <w:p w14:paraId="6C7089D7" w14:textId="77777777" w:rsidR="006A729C" w:rsidRPr="001337B1" w:rsidRDefault="006A729C" w:rsidP="00AE018A">
      <w:pPr>
        <w:rPr>
          <w:sz w:val="18"/>
          <w:szCs w:val="18"/>
        </w:rPr>
      </w:pPr>
    </w:p>
    <w:sectPr w:rsidR="006A729C" w:rsidRPr="001337B1">
      <w:headerReference w:type="default" r:id="rId16"/>
      <w:footerReference w:type="defaul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3C66" w14:textId="77777777" w:rsidR="006F161F" w:rsidRDefault="006F161F">
      <w:pPr>
        <w:spacing w:after="0" w:line="240" w:lineRule="auto"/>
      </w:pPr>
      <w:r>
        <w:separator/>
      </w:r>
    </w:p>
  </w:endnote>
  <w:endnote w:type="continuationSeparator" w:id="0">
    <w:p w14:paraId="4D950EEC" w14:textId="77777777" w:rsidR="006F161F" w:rsidRDefault="006F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1498553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E115BF6" w14:textId="77777777" w:rsidR="005F52CF" w:rsidRDefault="005F52CF" w:rsidP="00D75B21">
            <w:pPr>
              <w:pStyle w:val="Footer"/>
              <w:tabs>
                <w:tab w:val="clear" w:pos="9360"/>
                <w:tab w:val="right" w:pos="10710"/>
              </w:tabs>
              <w:rPr>
                <w:sz w:val="20"/>
                <w:szCs w:val="20"/>
              </w:rPr>
            </w:pPr>
          </w:p>
          <w:p w14:paraId="263068EB" w14:textId="77777777" w:rsidR="00463042" w:rsidRDefault="00C57ED2" w:rsidP="00D75B21">
            <w:pPr>
              <w:pStyle w:val="Footer"/>
              <w:tabs>
                <w:tab w:val="clear" w:pos="9360"/>
                <w:tab w:val="right" w:pos="10710"/>
              </w:tabs>
              <w:rPr>
                <w:sz w:val="18"/>
                <w:szCs w:val="18"/>
              </w:rPr>
            </w:pPr>
            <w:r>
              <w:rPr>
                <w:bCs/>
                <w:sz w:val="18"/>
                <w:szCs w:val="18"/>
              </w:rPr>
              <w:t>October</w:t>
            </w:r>
            <w:r w:rsidR="00E23128" w:rsidRPr="005F52CF">
              <w:rPr>
                <w:bCs/>
                <w:sz w:val="18"/>
                <w:szCs w:val="18"/>
              </w:rPr>
              <w:t xml:space="preserve"> 2017</w:t>
            </w:r>
          </w:p>
          <w:p w14:paraId="4B019BCC" w14:textId="2A35D445" w:rsidR="00693CB0" w:rsidRPr="00210103" w:rsidRDefault="00692F2A" w:rsidP="00D75B21">
            <w:pPr>
              <w:pStyle w:val="Footer"/>
              <w:tabs>
                <w:tab w:val="clear" w:pos="9360"/>
                <w:tab w:val="right" w:pos="10710"/>
              </w:tabs>
              <w:rPr>
                <w:sz w:val="20"/>
                <w:szCs w:val="20"/>
              </w:rPr>
            </w:pPr>
            <w:r w:rsidRPr="005F52CF">
              <w:rPr>
                <w:sz w:val="18"/>
                <w:szCs w:val="18"/>
              </w:rPr>
              <w:t xml:space="preserve">Page </w:t>
            </w:r>
            <w:r w:rsidRPr="005F52CF">
              <w:rPr>
                <w:bCs/>
                <w:sz w:val="18"/>
                <w:szCs w:val="18"/>
              </w:rPr>
              <w:fldChar w:fldCharType="begin"/>
            </w:r>
            <w:r w:rsidRPr="005F52CF">
              <w:rPr>
                <w:bCs/>
                <w:sz w:val="18"/>
                <w:szCs w:val="18"/>
              </w:rPr>
              <w:instrText xml:space="preserve"> PAGE </w:instrText>
            </w:r>
            <w:r w:rsidRPr="005F52CF">
              <w:rPr>
                <w:bCs/>
                <w:sz w:val="18"/>
                <w:szCs w:val="18"/>
              </w:rPr>
              <w:fldChar w:fldCharType="separate"/>
            </w:r>
            <w:r w:rsidR="00873B63">
              <w:rPr>
                <w:bCs/>
                <w:noProof/>
                <w:sz w:val="18"/>
                <w:szCs w:val="18"/>
              </w:rPr>
              <w:t>4</w:t>
            </w:r>
            <w:r w:rsidRPr="005F52CF">
              <w:rPr>
                <w:bCs/>
                <w:sz w:val="18"/>
                <w:szCs w:val="18"/>
              </w:rPr>
              <w:fldChar w:fldCharType="end"/>
            </w:r>
            <w:r w:rsidRPr="005F52CF">
              <w:rPr>
                <w:sz w:val="18"/>
                <w:szCs w:val="18"/>
              </w:rPr>
              <w:t xml:space="preserve"> of </w:t>
            </w:r>
            <w:r w:rsidRPr="005F52CF">
              <w:rPr>
                <w:bCs/>
                <w:sz w:val="18"/>
                <w:szCs w:val="18"/>
              </w:rPr>
              <w:fldChar w:fldCharType="begin"/>
            </w:r>
            <w:r w:rsidRPr="005F52CF">
              <w:rPr>
                <w:bCs/>
                <w:sz w:val="18"/>
                <w:szCs w:val="18"/>
              </w:rPr>
              <w:instrText xml:space="preserve"> NUMPAGES  </w:instrText>
            </w:r>
            <w:r w:rsidRPr="005F52CF">
              <w:rPr>
                <w:bCs/>
                <w:sz w:val="18"/>
                <w:szCs w:val="18"/>
              </w:rPr>
              <w:fldChar w:fldCharType="separate"/>
            </w:r>
            <w:r w:rsidR="00873B63">
              <w:rPr>
                <w:bCs/>
                <w:noProof/>
                <w:sz w:val="18"/>
                <w:szCs w:val="18"/>
              </w:rPr>
              <w:t>4</w:t>
            </w:r>
            <w:r w:rsidRPr="005F52CF">
              <w:rPr>
                <w:bCs/>
                <w:sz w:val="18"/>
                <w:szCs w:val="18"/>
              </w:rPr>
              <w:fldChar w:fldCharType="end"/>
            </w:r>
            <w:r w:rsidR="005F52CF">
              <w:rPr>
                <w:bCs/>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1FD0" w14:textId="77777777" w:rsidR="006F161F" w:rsidRDefault="006F161F">
      <w:pPr>
        <w:spacing w:after="0" w:line="240" w:lineRule="auto"/>
      </w:pPr>
      <w:r>
        <w:separator/>
      </w:r>
    </w:p>
  </w:footnote>
  <w:footnote w:type="continuationSeparator" w:id="0">
    <w:p w14:paraId="4CA329DE" w14:textId="77777777" w:rsidR="006F161F" w:rsidRDefault="006F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58AE" w14:textId="77777777" w:rsidR="005F52CF" w:rsidRDefault="005F52CF" w:rsidP="005F52CF">
    <w:pPr>
      <w:tabs>
        <w:tab w:val="center" w:pos="4680"/>
        <w:tab w:val="right" w:pos="9360"/>
      </w:tabs>
      <w:spacing w:after="0" w:line="240" w:lineRule="auto"/>
    </w:pPr>
  </w:p>
  <w:p w14:paraId="14E7DCCB" w14:textId="7E1171B1" w:rsidR="005F52CF" w:rsidRDefault="005F52CF" w:rsidP="005F52CF">
    <w:pPr>
      <w:tabs>
        <w:tab w:val="center" w:pos="4680"/>
        <w:tab w:val="right" w:pos="9360"/>
      </w:tabs>
      <w:spacing w:after="0" w:line="240" w:lineRule="auto"/>
    </w:pPr>
    <w:r w:rsidRPr="00D4317E">
      <w:rPr>
        <w:b/>
        <w:i/>
        <w:noProof/>
        <w:sz w:val="28"/>
        <w:szCs w:val="28"/>
      </w:rPr>
      <w:drawing>
        <wp:inline distT="0" distB="0" distL="0" distR="0" wp14:anchorId="728F3139" wp14:editId="7A603A76">
          <wp:extent cx="1775460" cy="324485"/>
          <wp:effectExtent l="0" t="0" r="0" b="0"/>
          <wp:docPr id="4" name="Picture 4" descr="C:\Users\sherman_p\AppData\Local\Temp\3\Temp1_co_cde__dept_300_rgb_standard.zip\co_cde__dept_300_rgb_standard.png" title="Colorado Department of Educ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erman_p\AppData\Local\Temp\3\Temp1_co_cde__dept_300_rgb_standard.zip\co_cde__dept_300_rgb_standa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5460" cy="324485"/>
                  </a:xfrm>
                  <a:prstGeom prst="rect">
                    <a:avLst/>
                  </a:prstGeom>
                  <a:noFill/>
                  <a:ln>
                    <a:noFill/>
                  </a:ln>
                </pic:spPr>
              </pic:pic>
            </a:graphicData>
          </a:graphic>
        </wp:inline>
      </w:drawing>
    </w:r>
  </w:p>
  <w:p w14:paraId="1E0E0C93" w14:textId="77777777" w:rsidR="005F52CF" w:rsidRDefault="005F52CF" w:rsidP="005F52C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3307"/>
    <w:multiLevelType w:val="multilevel"/>
    <w:tmpl w:val="98D840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F1619B5"/>
    <w:multiLevelType w:val="multilevel"/>
    <w:tmpl w:val="DD2ED77C"/>
    <w:lvl w:ilvl="0">
      <w:start w:val="1"/>
      <w:numFmt w:val="bullet"/>
      <w:lvlText w:val="●"/>
      <w:lvlJc w:val="left"/>
      <w:pPr>
        <w:ind w:left="697" w:hanging="360"/>
      </w:pPr>
      <w:rPr>
        <w:rFonts w:ascii="Arial" w:eastAsia="Arial" w:hAnsi="Arial" w:cs="Arial"/>
      </w:rPr>
    </w:lvl>
    <w:lvl w:ilvl="1">
      <w:start w:val="1"/>
      <w:numFmt w:val="bullet"/>
      <w:lvlText w:val="o"/>
      <w:lvlJc w:val="left"/>
      <w:pPr>
        <w:ind w:left="1417" w:hanging="360"/>
      </w:pPr>
      <w:rPr>
        <w:rFonts w:ascii="Arial" w:eastAsia="Arial" w:hAnsi="Arial" w:cs="Arial"/>
      </w:rPr>
    </w:lvl>
    <w:lvl w:ilvl="2">
      <w:start w:val="1"/>
      <w:numFmt w:val="bullet"/>
      <w:lvlText w:val="▪"/>
      <w:lvlJc w:val="left"/>
      <w:pPr>
        <w:ind w:left="2137" w:hanging="360"/>
      </w:pPr>
      <w:rPr>
        <w:rFonts w:ascii="Arial" w:eastAsia="Arial" w:hAnsi="Arial" w:cs="Arial"/>
      </w:rPr>
    </w:lvl>
    <w:lvl w:ilvl="3">
      <w:start w:val="1"/>
      <w:numFmt w:val="bullet"/>
      <w:lvlText w:val="●"/>
      <w:lvlJc w:val="left"/>
      <w:pPr>
        <w:ind w:left="2857" w:hanging="360"/>
      </w:pPr>
      <w:rPr>
        <w:rFonts w:ascii="Arial" w:eastAsia="Arial" w:hAnsi="Arial" w:cs="Arial"/>
      </w:rPr>
    </w:lvl>
    <w:lvl w:ilvl="4">
      <w:start w:val="1"/>
      <w:numFmt w:val="bullet"/>
      <w:lvlText w:val="o"/>
      <w:lvlJc w:val="left"/>
      <w:pPr>
        <w:ind w:left="3577" w:hanging="360"/>
      </w:pPr>
      <w:rPr>
        <w:rFonts w:ascii="Arial" w:eastAsia="Arial" w:hAnsi="Arial" w:cs="Arial"/>
      </w:rPr>
    </w:lvl>
    <w:lvl w:ilvl="5">
      <w:start w:val="1"/>
      <w:numFmt w:val="bullet"/>
      <w:lvlText w:val="▪"/>
      <w:lvlJc w:val="left"/>
      <w:pPr>
        <w:ind w:left="4297" w:hanging="360"/>
      </w:pPr>
      <w:rPr>
        <w:rFonts w:ascii="Arial" w:eastAsia="Arial" w:hAnsi="Arial" w:cs="Arial"/>
      </w:rPr>
    </w:lvl>
    <w:lvl w:ilvl="6">
      <w:start w:val="1"/>
      <w:numFmt w:val="bullet"/>
      <w:lvlText w:val="●"/>
      <w:lvlJc w:val="left"/>
      <w:pPr>
        <w:ind w:left="5017" w:hanging="360"/>
      </w:pPr>
      <w:rPr>
        <w:rFonts w:ascii="Arial" w:eastAsia="Arial" w:hAnsi="Arial" w:cs="Arial"/>
      </w:rPr>
    </w:lvl>
    <w:lvl w:ilvl="7">
      <w:start w:val="1"/>
      <w:numFmt w:val="bullet"/>
      <w:lvlText w:val="o"/>
      <w:lvlJc w:val="left"/>
      <w:pPr>
        <w:ind w:left="5737" w:hanging="360"/>
      </w:pPr>
      <w:rPr>
        <w:rFonts w:ascii="Arial" w:eastAsia="Arial" w:hAnsi="Arial" w:cs="Arial"/>
      </w:rPr>
    </w:lvl>
    <w:lvl w:ilvl="8">
      <w:start w:val="1"/>
      <w:numFmt w:val="bullet"/>
      <w:lvlText w:val="▪"/>
      <w:lvlJc w:val="left"/>
      <w:pPr>
        <w:ind w:left="6457" w:hanging="360"/>
      </w:pPr>
      <w:rPr>
        <w:rFonts w:ascii="Arial" w:eastAsia="Arial" w:hAnsi="Arial" w:cs="Arial"/>
      </w:rPr>
    </w:lvl>
  </w:abstractNum>
  <w:abstractNum w:abstractNumId="2" w15:restartNumberingAfterBreak="0">
    <w:nsid w:val="788C6BEB"/>
    <w:multiLevelType w:val="hybridMultilevel"/>
    <w:tmpl w:val="E96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F63D9"/>
    <w:multiLevelType w:val="hybridMultilevel"/>
    <w:tmpl w:val="6FE4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B0"/>
    <w:rsid w:val="00102D96"/>
    <w:rsid w:val="00111395"/>
    <w:rsid w:val="001337B1"/>
    <w:rsid w:val="00210103"/>
    <w:rsid w:val="002639CC"/>
    <w:rsid w:val="002C19D1"/>
    <w:rsid w:val="002F311D"/>
    <w:rsid w:val="002F7214"/>
    <w:rsid w:val="00332AFC"/>
    <w:rsid w:val="0034283B"/>
    <w:rsid w:val="00371E01"/>
    <w:rsid w:val="003A4702"/>
    <w:rsid w:val="003C48B0"/>
    <w:rsid w:val="003F51E4"/>
    <w:rsid w:val="00422D6D"/>
    <w:rsid w:val="00431492"/>
    <w:rsid w:val="00445CC0"/>
    <w:rsid w:val="00463042"/>
    <w:rsid w:val="004C4280"/>
    <w:rsid w:val="004F39DB"/>
    <w:rsid w:val="00537C56"/>
    <w:rsid w:val="005573FB"/>
    <w:rsid w:val="00581C12"/>
    <w:rsid w:val="005A0CAB"/>
    <w:rsid w:val="005F52CF"/>
    <w:rsid w:val="00680280"/>
    <w:rsid w:val="006802FB"/>
    <w:rsid w:val="00692F2A"/>
    <w:rsid w:val="00693CB0"/>
    <w:rsid w:val="00697CB0"/>
    <w:rsid w:val="006A729C"/>
    <w:rsid w:val="006F161F"/>
    <w:rsid w:val="007026BD"/>
    <w:rsid w:val="007077D5"/>
    <w:rsid w:val="00724BB6"/>
    <w:rsid w:val="00724EFE"/>
    <w:rsid w:val="00730220"/>
    <w:rsid w:val="00755F77"/>
    <w:rsid w:val="007A5CC5"/>
    <w:rsid w:val="007C4F6B"/>
    <w:rsid w:val="007F2A54"/>
    <w:rsid w:val="00807A57"/>
    <w:rsid w:val="00861158"/>
    <w:rsid w:val="00873B63"/>
    <w:rsid w:val="00897E25"/>
    <w:rsid w:val="008B0062"/>
    <w:rsid w:val="008C5AAE"/>
    <w:rsid w:val="008E4E69"/>
    <w:rsid w:val="008E5A36"/>
    <w:rsid w:val="00926609"/>
    <w:rsid w:val="00974CDB"/>
    <w:rsid w:val="00976B5C"/>
    <w:rsid w:val="00984532"/>
    <w:rsid w:val="009B6DEA"/>
    <w:rsid w:val="00A15CC2"/>
    <w:rsid w:val="00A35755"/>
    <w:rsid w:val="00AC2A51"/>
    <w:rsid w:val="00AE018A"/>
    <w:rsid w:val="00B007DF"/>
    <w:rsid w:val="00B174F9"/>
    <w:rsid w:val="00B54D24"/>
    <w:rsid w:val="00BD0C2C"/>
    <w:rsid w:val="00BF3ABB"/>
    <w:rsid w:val="00C05D9C"/>
    <w:rsid w:val="00C15E1F"/>
    <w:rsid w:val="00C46E0C"/>
    <w:rsid w:val="00C57ED2"/>
    <w:rsid w:val="00C71DEC"/>
    <w:rsid w:val="00CD0A47"/>
    <w:rsid w:val="00CF409A"/>
    <w:rsid w:val="00D4317E"/>
    <w:rsid w:val="00D47DCB"/>
    <w:rsid w:val="00D75B21"/>
    <w:rsid w:val="00D9467D"/>
    <w:rsid w:val="00DC7FD8"/>
    <w:rsid w:val="00DF073E"/>
    <w:rsid w:val="00DF251A"/>
    <w:rsid w:val="00E05314"/>
    <w:rsid w:val="00E23128"/>
    <w:rsid w:val="00E6178C"/>
    <w:rsid w:val="00EA6DC7"/>
    <w:rsid w:val="00EA736D"/>
    <w:rsid w:val="00EC265E"/>
    <w:rsid w:val="00F34BDB"/>
    <w:rsid w:val="00F46007"/>
    <w:rsid w:val="00F46161"/>
    <w:rsid w:val="00F64648"/>
    <w:rsid w:val="00FA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29C01"/>
  <w15:docId w15:val="{8C34B595-4A03-49D9-9697-E778060B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F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DB"/>
  </w:style>
  <w:style w:type="paragraph" w:styleId="Footer">
    <w:name w:val="footer"/>
    <w:basedOn w:val="Normal"/>
    <w:link w:val="FooterChar"/>
    <w:uiPriority w:val="99"/>
    <w:unhideWhenUsed/>
    <w:rsid w:val="004F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DB"/>
  </w:style>
  <w:style w:type="paragraph" w:styleId="NormalWeb">
    <w:name w:val="Normal (Web)"/>
    <w:basedOn w:val="Normal"/>
    <w:uiPriority w:val="99"/>
    <w:unhideWhenUsed/>
    <w:rsid w:val="00692F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92F2A"/>
    <w:rPr>
      <w:sz w:val="16"/>
      <w:szCs w:val="16"/>
    </w:rPr>
  </w:style>
  <w:style w:type="paragraph" w:styleId="CommentText">
    <w:name w:val="annotation text"/>
    <w:basedOn w:val="Normal"/>
    <w:link w:val="CommentTextChar"/>
    <w:uiPriority w:val="99"/>
    <w:semiHidden/>
    <w:unhideWhenUsed/>
    <w:rsid w:val="00692F2A"/>
    <w:pPr>
      <w:spacing w:line="240" w:lineRule="auto"/>
    </w:pPr>
    <w:rPr>
      <w:sz w:val="20"/>
      <w:szCs w:val="20"/>
    </w:rPr>
  </w:style>
  <w:style w:type="character" w:customStyle="1" w:styleId="CommentTextChar">
    <w:name w:val="Comment Text Char"/>
    <w:basedOn w:val="DefaultParagraphFont"/>
    <w:link w:val="CommentText"/>
    <w:uiPriority w:val="99"/>
    <w:semiHidden/>
    <w:rsid w:val="00692F2A"/>
    <w:rPr>
      <w:sz w:val="20"/>
      <w:szCs w:val="20"/>
    </w:rPr>
  </w:style>
  <w:style w:type="paragraph" w:styleId="CommentSubject">
    <w:name w:val="annotation subject"/>
    <w:basedOn w:val="CommentText"/>
    <w:next w:val="CommentText"/>
    <w:link w:val="CommentSubjectChar"/>
    <w:uiPriority w:val="99"/>
    <w:semiHidden/>
    <w:unhideWhenUsed/>
    <w:rsid w:val="00692F2A"/>
    <w:rPr>
      <w:b/>
      <w:bCs/>
    </w:rPr>
  </w:style>
  <w:style w:type="character" w:customStyle="1" w:styleId="CommentSubjectChar">
    <w:name w:val="Comment Subject Char"/>
    <w:basedOn w:val="CommentTextChar"/>
    <w:link w:val="CommentSubject"/>
    <w:uiPriority w:val="99"/>
    <w:semiHidden/>
    <w:rsid w:val="00692F2A"/>
    <w:rPr>
      <w:b/>
      <w:bCs/>
      <w:sz w:val="20"/>
      <w:szCs w:val="20"/>
    </w:rPr>
  </w:style>
  <w:style w:type="paragraph" w:styleId="BalloonText">
    <w:name w:val="Balloon Text"/>
    <w:basedOn w:val="Normal"/>
    <w:link w:val="BalloonTextChar"/>
    <w:uiPriority w:val="99"/>
    <w:semiHidden/>
    <w:unhideWhenUsed/>
    <w:rsid w:val="0069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2A"/>
    <w:rPr>
      <w:rFonts w:ascii="Segoe UI" w:hAnsi="Segoe UI" w:cs="Segoe UI"/>
      <w:sz w:val="18"/>
      <w:szCs w:val="18"/>
    </w:rPr>
  </w:style>
  <w:style w:type="table" w:styleId="TableGrid">
    <w:name w:val="Table Grid"/>
    <w:basedOn w:val="TableNormal"/>
    <w:uiPriority w:val="39"/>
    <w:rsid w:val="00D4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158"/>
    <w:pPr>
      <w:ind w:left="720"/>
      <w:contextualSpacing/>
    </w:pPr>
  </w:style>
  <w:style w:type="paragraph" w:styleId="Revision">
    <w:name w:val="Revision"/>
    <w:hidden/>
    <w:uiPriority w:val="99"/>
    <w:semiHidden/>
    <w:rsid w:val="00EA6DC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A15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xploration-diagnosticreview" TargetMode="External"/><Relationship Id="rId13" Type="http://schemas.openxmlformats.org/officeDocument/2006/relationships/hyperlink" Target="http://www.cde.state.co.us/fedprograms/cdeofferedservices-turnaroundnet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fedprograms/cdeofferedservices-connectforsuc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edprograms/districtdesignedstrategies" TargetMode="External"/><Relationship Id="rId5" Type="http://schemas.openxmlformats.org/officeDocument/2006/relationships/webSettings" Target="webSettings.xml"/><Relationship Id="rId15" Type="http://schemas.openxmlformats.org/officeDocument/2006/relationships/hyperlink" Target="http://www.cde.state.co.us/fedprograms/districtwide-comtss" TargetMode="External"/><Relationship Id="rId10" Type="http://schemas.openxmlformats.org/officeDocument/2006/relationships/hyperlink" Target="http://www.cde.state.co.us/fedprograms/exploration-stakeholderengagement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state.co.us/fedprograms/exploration-accountabilitypathways" TargetMode="External"/><Relationship Id="rId14" Type="http://schemas.openxmlformats.org/officeDocument/2006/relationships/hyperlink" Target="http://www.cde.state.co.us/fedprograms/districtwide-turnaroundlea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5D7C-3802-4164-B040-6D19CAB2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Peter</dc:creator>
  <cp:lastModifiedBy>Hollingshead, Jessica</cp:lastModifiedBy>
  <cp:revision>16</cp:revision>
  <cp:lastPrinted>2017-10-16T19:49:00Z</cp:lastPrinted>
  <dcterms:created xsi:type="dcterms:W3CDTF">2017-10-16T19:45:00Z</dcterms:created>
  <dcterms:modified xsi:type="dcterms:W3CDTF">2017-11-07T17:00:00Z</dcterms:modified>
  <cp:contentStatus/>
</cp:coreProperties>
</file>