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C402E0">
        <w:tc>
          <w:tcPr>
            <w:tcW w:w="10770" w:type="dxa"/>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tcPr>
          <w:p w14:paraId="3B8D9B6E" w14:textId="07DB9C5D" w:rsidR="009A2EC3" w:rsidRDefault="009A2EC3" w:rsidP="009A2EC3">
            <w:r>
              <w:rPr>
                <w:b/>
                <w:sz w:val="24"/>
                <w:szCs w:val="24"/>
              </w:rPr>
              <w:t>Name of Entity:</w:t>
            </w:r>
            <w:r>
              <w:rPr>
                <w:sz w:val="24"/>
                <w:szCs w:val="24"/>
              </w:rPr>
              <w:t xml:space="preserve">  </w:t>
            </w:r>
            <w:r w:rsidR="00382DF5" w:rsidRPr="00382DF5">
              <w:rPr>
                <w:sz w:val="24"/>
                <w:szCs w:val="24"/>
              </w:rPr>
              <w:t>TNTP</w:t>
            </w:r>
          </w:p>
        </w:tc>
      </w:tr>
      <w:tr w:rsidR="009A2EC3" w14:paraId="788A91D0" w14:textId="77777777" w:rsidTr="00C402E0">
        <w:tc>
          <w:tcPr>
            <w:tcW w:w="10770" w:type="dxa"/>
          </w:tcPr>
          <w:p w14:paraId="41F53F4F" w14:textId="2109F51A" w:rsidR="009A2EC3" w:rsidRDefault="009A2EC3" w:rsidP="009A2EC3">
            <w:r>
              <w:rPr>
                <w:b/>
                <w:sz w:val="24"/>
                <w:szCs w:val="24"/>
              </w:rPr>
              <w:t xml:space="preserve">Name of Product: </w:t>
            </w:r>
            <w:r w:rsidR="00382DF5" w:rsidRPr="00382DF5">
              <w:rPr>
                <w:bCs/>
                <w:sz w:val="24"/>
                <w:szCs w:val="24"/>
              </w:rPr>
              <w:t>Science of Reading Elementary, v 1.0</w:t>
            </w:r>
          </w:p>
        </w:tc>
      </w:tr>
      <w:tr w:rsidR="009A2EC3" w14:paraId="2731C2D1" w14:textId="77777777" w:rsidTr="00C402E0">
        <w:tc>
          <w:tcPr>
            <w:tcW w:w="10770" w:type="dxa"/>
          </w:tcPr>
          <w:p w14:paraId="7708C9C7" w14:textId="5253BA8A" w:rsidR="009A2EC3" w:rsidRDefault="009A2EC3" w:rsidP="009A2EC3">
            <w:r>
              <w:rPr>
                <w:b/>
                <w:sz w:val="24"/>
                <w:szCs w:val="24"/>
              </w:rPr>
              <w:t xml:space="preserve">Publication Year: </w:t>
            </w:r>
            <w:r w:rsidR="00B56328" w:rsidRPr="00B56328">
              <w:rPr>
                <w:bCs/>
                <w:sz w:val="24"/>
                <w:szCs w:val="24"/>
              </w:rPr>
              <w:t>2023</w:t>
            </w:r>
          </w:p>
        </w:tc>
      </w:tr>
      <w:tr w:rsidR="009A2EC3" w14:paraId="46E938A3" w14:textId="77777777" w:rsidTr="00C402E0">
        <w:tc>
          <w:tcPr>
            <w:tcW w:w="10770" w:type="dxa"/>
          </w:tcPr>
          <w:p w14:paraId="3B0B9894" w14:textId="63F87089" w:rsidR="009A2EC3" w:rsidRDefault="009A2EC3" w:rsidP="009A2EC3">
            <w:r>
              <w:rPr>
                <w:b/>
                <w:sz w:val="24"/>
                <w:szCs w:val="24"/>
              </w:rPr>
              <w:t>Contact Name</w:t>
            </w:r>
            <w:r>
              <w:rPr>
                <w:sz w:val="24"/>
                <w:szCs w:val="24"/>
              </w:rPr>
              <w:t xml:space="preserve">: </w:t>
            </w:r>
            <w:r w:rsidR="00B56328" w:rsidRPr="00B56328">
              <w:rPr>
                <w:sz w:val="24"/>
                <w:szCs w:val="24"/>
              </w:rPr>
              <w:t>Vanessa Valencia</w:t>
            </w:r>
          </w:p>
        </w:tc>
      </w:tr>
      <w:tr w:rsidR="009A2EC3" w14:paraId="22FD74BE" w14:textId="77777777" w:rsidTr="00C402E0">
        <w:tc>
          <w:tcPr>
            <w:tcW w:w="10770" w:type="dxa"/>
          </w:tcPr>
          <w:p w14:paraId="7C2E9B01" w14:textId="423FD2B9" w:rsidR="009A2EC3" w:rsidRDefault="009A2EC3" w:rsidP="009A2EC3">
            <w:r>
              <w:rPr>
                <w:b/>
                <w:sz w:val="24"/>
                <w:szCs w:val="24"/>
              </w:rPr>
              <w:t xml:space="preserve">Phone Number: </w:t>
            </w:r>
            <w:r w:rsidR="00B56328" w:rsidRPr="00B56328">
              <w:rPr>
                <w:bCs/>
                <w:sz w:val="24"/>
                <w:szCs w:val="24"/>
              </w:rPr>
              <w:t>720-934-9485</w:t>
            </w:r>
          </w:p>
        </w:tc>
      </w:tr>
      <w:tr w:rsidR="009A2EC3" w14:paraId="3DCA5BED" w14:textId="77777777" w:rsidTr="00C402E0">
        <w:tc>
          <w:tcPr>
            <w:tcW w:w="10770" w:type="dxa"/>
          </w:tcPr>
          <w:p w14:paraId="70746EC4" w14:textId="1CFDDEDE" w:rsidR="009A2EC3" w:rsidRDefault="009A2EC3" w:rsidP="009A2EC3">
            <w:r>
              <w:rPr>
                <w:b/>
                <w:sz w:val="24"/>
                <w:szCs w:val="24"/>
              </w:rPr>
              <w:t xml:space="preserve">Email Address: </w:t>
            </w:r>
            <w:hyperlink r:id="rId9" w:history="1">
              <w:r w:rsidR="00415A20" w:rsidRPr="00415A20">
                <w:rPr>
                  <w:rStyle w:val="Hyperlink"/>
                  <w:bCs/>
                  <w:sz w:val="24"/>
                  <w:szCs w:val="24"/>
                </w:rPr>
                <w:t>vanessa.valencia@tntp.org</w:t>
              </w:r>
            </w:hyperlink>
            <w:r w:rsidR="00415A20">
              <w:rPr>
                <w:b/>
                <w:sz w:val="24"/>
                <w:szCs w:val="24"/>
              </w:rPr>
              <w:t xml:space="preserve"> </w:t>
            </w:r>
          </w:p>
        </w:tc>
      </w:tr>
      <w:tr w:rsidR="009A2EC3" w14:paraId="754B1FC2" w14:textId="77777777" w:rsidTr="00C402E0">
        <w:tc>
          <w:tcPr>
            <w:tcW w:w="10770" w:type="dxa"/>
          </w:tcPr>
          <w:p w14:paraId="17355D5B" w14:textId="31183184" w:rsidR="009A2EC3" w:rsidRDefault="009A2EC3" w:rsidP="009A2EC3">
            <w:r>
              <w:rPr>
                <w:b/>
                <w:sz w:val="24"/>
                <w:szCs w:val="24"/>
              </w:rPr>
              <w:t xml:space="preserve">Website: </w:t>
            </w:r>
            <w:hyperlink r:id="rId10" w:history="1">
              <w:r w:rsidR="00415A20" w:rsidRPr="00415A20">
                <w:rPr>
                  <w:rStyle w:val="Hyperlink"/>
                  <w:bCs/>
                  <w:sz w:val="24"/>
                  <w:szCs w:val="24"/>
                </w:rPr>
                <w:t>https://tntp.org/</w:t>
              </w:r>
            </w:hyperlink>
            <w:r w:rsidR="00415A20">
              <w:rPr>
                <w:b/>
                <w:sz w:val="24"/>
                <w:szCs w:val="24"/>
              </w:rPr>
              <w:t xml:space="preserve"> </w:t>
            </w:r>
          </w:p>
        </w:tc>
      </w:tr>
      <w:tr w:rsidR="00075247" w14:paraId="347B98F6" w14:textId="77777777" w:rsidTr="00C402E0">
        <w:tc>
          <w:tcPr>
            <w:tcW w:w="10770" w:type="dxa"/>
          </w:tcPr>
          <w:p w14:paraId="6785D8F3" w14:textId="77777777" w:rsidR="00075247" w:rsidRDefault="00075247" w:rsidP="00075247">
            <w:pPr>
              <w:rPr>
                <w:b/>
                <w:sz w:val="24"/>
                <w:szCs w:val="24"/>
              </w:rPr>
            </w:pPr>
            <w:r>
              <w:rPr>
                <w:b/>
                <w:sz w:val="24"/>
                <w:szCs w:val="24"/>
              </w:rPr>
              <w:t>Audience:</w:t>
            </w:r>
          </w:p>
          <w:p w14:paraId="14E0DFEF" w14:textId="77777777" w:rsidR="00075247" w:rsidRPr="009735DA" w:rsidRDefault="0001462E" w:rsidP="00075247">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EndPr/>
              <w:sdtContent>
                <w:r w:rsidR="00075247">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Pr>
                <w:sz w:val="24"/>
                <w:szCs w:val="24"/>
              </w:rPr>
              <w:t xml:space="preserve">Principals and </w:t>
            </w:r>
            <w:r w:rsidR="00075247">
              <w:t>Administrators</w:t>
            </w:r>
            <w:r w:rsidR="00075247">
              <w:rPr>
                <w:sz w:val="24"/>
                <w:szCs w:val="24"/>
              </w:rPr>
              <w:t xml:space="preserve"> </w:t>
            </w:r>
          </w:p>
          <w:p w14:paraId="11FB9EC1" w14:textId="77777777" w:rsidR="00075247" w:rsidRPr="005146B8" w:rsidRDefault="0001462E" w:rsidP="00075247">
            <w:pPr>
              <w:rPr>
                <w:rFonts w:eastAsiaTheme="minorEastAsia"/>
                <w:sz w:val="24"/>
                <w:szCs w:val="24"/>
              </w:rPr>
            </w:pPr>
            <w:sdt>
              <w:sdtPr>
                <w:rPr>
                  <w:rFonts w:eastAsiaTheme="minorEastAsia"/>
                  <w:color w:val="000000" w:themeColor="text1"/>
                  <w:sz w:val="24"/>
                  <w:szCs w:val="24"/>
                </w:rPr>
                <w:id w:val="1633132115"/>
                <w14:checkbox>
                  <w14:checked w14:val="0"/>
                  <w14:checkedState w14:val="2612" w14:font="MS Gothic"/>
                  <w14:uncheckedState w14:val="2610" w14:font="MS Gothic"/>
                </w14:checkbox>
              </w:sdtPr>
              <w:sdtEndPr/>
              <w:sdtContent>
                <w:r w:rsidR="00075247">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K-3 Teachers</w:t>
            </w:r>
            <w:r w:rsidR="00075247" w:rsidRPr="005146B8">
              <w:rPr>
                <w:rFonts w:eastAsiaTheme="minorEastAsia"/>
                <w:color w:val="000000" w:themeColor="text1"/>
                <w:sz w:val="24"/>
                <w:szCs w:val="24"/>
              </w:rPr>
              <w:t> </w:t>
            </w:r>
          </w:p>
          <w:p w14:paraId="77C75101" w14:textId="168D5F66" w:rsidR="00075247" w:rsidRDefault="0001462E" w:rsidP="00415A20">
            <w:pPr>
              <w:rPr>
                <w:b/>
                <w:sz w:val="24"/>
                <w:szCs w:val="24"/>
              </w:rPr>
            </w:pPr>
            <w:sdt>
              <w:sdtPr>
                <w:rPr>
                  <w:rFonts w:eastAsiaTheme="minorEastAsia"/>
                  <w:color w:val="000000" w:themeColor="text1"/>
                  <w:sz w:val="24"/>
                  <w:szCs w:val="24"/>
                </w:rPr>
                <w:id w:val="744462690"/>
                <w14:checkbox>
                  <w14:checked w14:val="1"/>
                  <w14:checkedState w14:val="2612" w14:font="MS Gothic"/>
                  <w14:uncheckedState w14:val="2610" w14:font="MS Gothic"/>
                </w14:checkbox>
              </w:sdtPr>
              <w:sdtEndPr/>
              <w:sdtContent>
                <w:r w:rsidR="00415A20">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K-12 Teachers</w:t>
            </w:r>
            <w:r w:rsidR="00075247">
              <w:rPr>
                <w:b/>
                <w:sz w:val="24"/>
                <w:szCs w:val="24"/>
              </w:rPr>
              <w:t xml:space="preserve"> </w:t>
            </w:r>
          </w:p>
        </w:tc>
      </w:tr>
      <w:tr w:rsidR="00075247" w14:paraId="30205DEC" w14:textId="77777777" w:rsidTr="00C402E0">
        <w:tc>
          <w:tcPr>
            <w:tcW w:w="10770" w:type="dxa"/>
          </w:tcPr>
          <w:p w14:paraId="6A5210A1" w14:textId="77777777" w:rsidR="00075247" w:rsidRDefault="00075247" w:rsidP="00075247">
            <w:pPr>
              <w:rPr>
                <w:sz w:val="24"/>
                <w:szCs w:val="24"/>
              </w:rPr>
            </w:pPr>
            <w:r>
              <w:rPr>
                <w:b/>
                <w:sz w:val="24"/>
                <w:szCs w:val="24"/>
              </w:rPr>
              <w:t>Delivery Format:</w:t>
            </w:r>
            <w:r>
              <w:rPr>
                <w:sz w:val="24"/>
                <w:szCs w:val="24"/>
              </w:rPr>
              <w:t xml:space="preserve"> </w:t>
            </w:r>
          </w:p>
          <w:p w14:paraId="6954DF4E" w14:textId="77777777" w:rsidR="00075247" w:rsidRPr="005146B8" w:rsidRDefault="0001462E" w:rsidP="00075247">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EndPr/>
              <w:sdtContent>
                <w:r w:rsidR="00075247">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sidRPr="005146B8">
              <w:rPr>
                <w:rFonts w:eastAsiaTheme="minorEastAsia"/>
                <w:color w:val="000000" w:themeColor="text1"/>
                <w:sz w:val="24"/>
                <w:szCs w:val="24"/>
              </w:rPr>
              <w:t>Online asynchronous, independent</w:t>
            </w:r>
          </w:p>
          <w:p w14:paraId="7807A5F9" w14:textId="77777777" w:rsidR="00075247" w:rsidRDefault="0001462E" w:rsidP="00075247">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0"/>
                  <w14:checkedState w14:val="2612" w14:font="MS Gothic"/>
                  <w14:uncheckedState w14:val="2610" w14:font="MS Gothic"/>
                </w14:checkbox>
              </w:sdtPr>
              <w:sdtEndPr/>
              <w:sdtContent>
                <w:r w:rsidR="00075247">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sidRPr="005146B8">
              <w:rPr>
                <w:rFonts w:eastAsiaTheme="minorEastAsia"/>
                <w:color w:val="000000" w:themeColor="text1"/>
                <w:sz w:val="24"/>
                <w:szCs w:val="24"/>
              </w:rPr>
              <w:t>Online synchronous, live </w:t>
            </w:r>
          </w:p>
          <w:p w14:paraId="58773E36" w14:textId="77777777" w:rsidR="00075247" w:rsidRPr="005146B8" w:rsidRDefault="0001462E" w:rsidP="00075247">
            <w:pPr>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EndPr/>
              <w:sdtContent>
                <w:r w:rsidR="00075247">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sidRPr="005146B8">
              <w:rPr>
                <w:rFonts w:eastAsiaTheme="minorEastAsia"/>
                <w:color w:val="000000" w:themeColor="text1"/>
                <w:sz w:val="24"/>
                <w:szCs w:val="24"/>
              </w:rPr>
              <w:t>Online with live component</w:t>
            </w:r>
          </w:p>
          <w:p w14:paraId="719A8816" w14:textId="77777777" w:rsidR="00075247" w:rsidRDefault="0001462E" w:rsidP="00075247">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0"/>
                  <w14:checkedState w14:val="2612" w14:font="MS Gothic"/>
                  <w14:uncheckedState w14:val="2610" w14:font="MS Gothic"/>
                </w14:checkbox>
              </w:sdtPr>
              <w:sdtEndPr/>
              <w:sdtContent>
                <w:r w:rsidR="00075247">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sidRPr="005146B8">
              <w:rPr>
                <w:rFonts w:eastAsiaTheme="minorEastAsia"/>
                <w:color w:val="000000" w:themeColor="text1"/>
                <w:sz w:val="24"/>
                <w:szCs w:val="24"/>
              </w:rPr>
              <w:t>In-person, face-to-face live</w:t>
            </w:r>
          </w:p>
          <w:p w14:paraId="38CD1EB8" w14:textId="1260245D" w:rsidR="00075247" w:rsidRDefault="0001462E" w:rsidP="00075247">
            <w:pPr>
              <w:rPr>
                <w:b/>
                <w:sz w:val="24"/>
                <w:szCs w:val="24"/>
              </w:rPr>
            </w:pPr>
            <w:sdt>
              <w:sdtPr>
                <w:rPr>
                  <w:rFonts w:eastAsiaTheme="minorEastAsia"/>
                  <w:color w:val="000000" w:themeColor="text1"/>
                  <w:sz w:val="24"/>
                  <w:szCs w:val="24"/>
                </w:rPr>
                <w:id w:val="-432904114"/>
                <w14:checkbox>
                  <w14:checked w14:val="1"/>
                  <w14:checkedState w14:val="2612" w14:font="MS Gothic"/>
                  <w14:uncheckedState w14:val="2610" w14:font="MS Gothic"/>
                </w14:checkbox>
              </w:sdtPr>
              <w:sdtEndPr/>
              <w:sdtContent>
                <w:r w:rsidR="00415A20">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Hybrid</w:t>
            </w:r>
          </w:p>
        </w:tc>
      </w:tr>
      <w:tr w:rsidR="00075247" w14:paraId="505B8F6F" w14:textId="77777777" w:rsidTr="00C402E0">
        <w:tc>
          <w:tcPr>
            <w:tcW w:w="10770" w:type="dxa"/>
          </w:tcPr>
          <w:p w14:paraId="3513B6E0" w14:textId="1A5DA729" w:rsidR="00075247" w:rsidRDefault="00075247" w:rsidP="009A2EC3">
            <w:pPr>
              <w:rPr>
                <w:b/>
                <w:sz w:val="24"/>
                <w:szCs w:val="24"/>
              </w:rPr>
            </w:pPr>
            <w:r>
              <w:rPr>
                <w:b/>
                <w:sz w:val="24"/>
                <w:szCs w:val="24"/>
              </w:rPr>
              <w:t xml:space="preserve">Contact Hours: </w:t>
            </w:r>
            <w:r w:rsidR="00415A20" w:rsidRPr="00415A20">
              <w:rPr>
                <w:bCs/>
                <w:sz w:val="24"/>
                <w:szCs w:val="24"/>
              </w:rPr>
              <w:t>55 hours</w:t>
            </w:r>
          </w:p>
        </w:tc>
      </w:tr>
      <w:tr w:rsidR="00260572" w14:paraId="67F7FD1C" w14:textId="77777777" w:rsidTr="00260572">
        <w:trPr>
          <w:trHeight w:val="6360"/>
        </w:trPr>
        <w:tc>
          <w:tcPr>
            <w:tcW w:w="10770" w:type="dxa"/>
          </w:tcPr>
          <w:p w14:paraId="6CC0DC13" w14:textId="685B8CC2" w:rsidR="0001462E" w:rsidRDefault="00260572" w:rsidP="0001462E">
            <w:pPr>
              <w:rPr>
                <w:b/>
                <w:sz w:val="24"/>
                <w:szCs w:val="24"/>
              </w:rPr>
            </w:pPr>
            <w:r>
              <w:rPr>
                <w:b/>
                <w:sz w:val="24"/>
                <w:szCs w:val="24"/>
              </w:rPr>
              <w:t>Description of Professional Development:</w:t>
            </w:r>
            <w:r w:rsidR="0001462E" w:rsidRPr="0001462E">
              <w:rPr>
                <w:b/>
                <w:sz w:val="24"/>
                <w:szCs w:val="24"/>
              </w:rPr>
              <w:t>(Course 1 and Course 2 for posting on the website)</w:t>
            </w:r>
          </w:p>
          <w:p w14:paraId="3B35B57D" w14:textId="77777777" w:rsidR="0001462E" w:rsidRPr="0001462E" w:rsidRDefault="0001462E" w:rsidP="0001462E">
            <w:pPr>
              <w:rPr>
                <w:b/>
                <w:sz w:val="24"/>
                <w:szCs w:val="24"/>
              </w:rPr>
            </w:pPr>
          </w:p>
          <w:p w14:paraId="3DC7BE83" w14:textId="77777777" w:rsidR="0001462E" w:rsidRPr="0001462E" w:rsidRDefault="0001462E" w:rsidP="0001462E">
            <w:pPr>
              <w:rPr>
                <w:bCs/>
                <w:sz w:val="24"/>
                <w:szCs w:val="24"/>
              </w:rPr>
            </w:pPr>
            <w:r w:rsidRPr="0001462E">
              <w:rPr>
                <w:b/>
                <w:sz w:val="24"/>
                <w:szCs w:val="24"/>
              </w:rPr>
              <w:t xml:space="preserve">Course 1: Course One </w:t>
            </w:r>
            <w:r w:rsidRPr="0001462E">
              <w:rPr>
                <w:bCs/>
                <w:sz w:val="24"/>
                <w:szCs w:val="24"/>
              </w:rPr>
              <w:t>provides a comprehensive approach to learning the principles and philosophies of the Science of Reading through a series of interactive online modules. Most participants require 25-30 hours to complete the course, depending on their familiarity with the content and their learning approach. Each module includes an end of module assessment, as well as reflection and application opportunities that help integrate new learning into instructional practice.</w:t>
            </w:r>
          </w:p>
          <w:p w14:paraId="3113897F" w14:textId="77777777" w:rsidR="00260572" w:rsidRDefault="0001462E" w:rsidP="0001462E">
            <w:pPr>
              <w:rPr>
                <w:bCs/>
                <w:sz w:val="24"/>
                <w:szCs w:val="24"/>
              </w:rPr>
            </w:pPr>
            <w:r w:rsidRPr="0001462E">
              <w:rPr>
                <w:bCs/>
                <w:sz w:val="24"/>
                <w:szCs w:val="24"/>
              </w:rPr>
              <w:t xml:space="preserve">The course is anchored in the cognitive science of reading development and the research-based evidence behind effective reading instruction, including the work of the National Reading Panel and subsequent evidence-based, peer-reviewed research. The literacy development process is framed by Gough and </w:t>
            </w:r>
            <w:proofErr w:type="spellStart"/>
            <w:r w:rsidRPr="0001462E">
              <w:rPr>
                <w:bCs/>
                <w:sz w:val="24"/>
                <w:szCs w:val="24"/>
              </w:rPr>
              <w:t>Tunmer’s</w:t>
            </w:r>
            <w:proofErr w:type="spellEnd"/>
            <w:r w:rsidRPr="0001462E">
              <w:rPr>
                <w:bCs/>
                <w:sz w:val="24"/>
                <w:szCs w:val="24"/>
              </w:rPr>
              <w:t xml:space="preserve"> Simple View of Reading (1986) and Hollis Scarborough’s reading rope (2001), as well as the neurological processes involved in learning to read. Each session connects a critical element of early literacy with these models, leading participants through an exploration of the relevant research supporting that element. Every module includes an application opportunity for the learner to make a direct connection to each system’s unique curricular materials.</w:t>
            </w:r>
          </w:p>
          <w:p w14:paraId="1B87AA3A" w14:textId="77777777" w:rsidR="0001462E" w:rsidRDefault="0001462E" w:rsidP="0001462E">
            <w:pPr>
              <w:rPr>
                <w:bCs/>
                <w:sz w:val="24"/>
                <w:szCs w:val="24"/>
              </w:rPr>
            </w:pPr>
          </w:p>
          <w:p w14:paraId="78F19BEE" w14:textId="6301F97F" w:rsidR="0001462E" w:rsidRDefault="0001462E" w:rsidP="0001462E">
            <w:pPr>
              <w:rPr>
                <w:b/>
                <w:sz w:val="24"/>
                <w:szCs w:val="24"/>
              </w:rPr>
            </w:pPr>
            <w:r w:rsidRPr="0001462E">
              <w:rPr>
                <w:b/>
                <w:sz w:val="24"/>
                <w:szCs w:val="24"/>
              </w:rPr>
              <w:t xml:space="preserve">Course 2: Course Two </w:t>
            </w:r>
            <w:r w:rsidRPr="0001462E">
              <w:rPr>
                <w:bCs/>
                <w:sz w:val="24"/>
                <w:szCs w:val="24"/>
              </w:rPr>
              <w:t xml:space="preserve">is a series of facilitated learning sessions that can be provided as in-person or virtual engagement opportunities. These sessions deepen educators’ knowledge as they prepare to implement instruction grounded in the Science of Reading. Through facilitated learning, educators build a strong understanding of how to translate research into practice and deliver excellent instruction that reflects the essential elements of literacy. Key to this learning is the explicit use of the HQIM (high quality instructional materials) </w:t>
            </w:r>
            <w:proofErr w:type="gramStart"/>
            <w:r w:rsidRPr="0001462E">
              <w:rPr>
                <w:bCs/>
                <w:sz w:val="24"/>
                <w:szCs w:val="24"/>
              </w:rPr>
              <w:t>actually used</w:t>
            </w:r>
            <w:proofErr w:type="gramEnd"/>
            <w:r w:rsidRPr="0001462E">
              <w:rPr>
                <w:bCs/>
                <w:sz w:val="24"/>
                <w:szCs w:val="24"/>
              </w:rPr>
              <w:t xml:space="preserve"> in participants’ own schools and classrooms. This approach is intended to close the knowing-doing gap and ensure implementation of strong materials with fidelity to support the growth of all </w:t>
            </w:r>
            <w:r w:rsidRPr="0001462E">
              <w:rPr>
                <w:bCs/>
                <w:sz w:val="24"/>
                <w:szCs w:val="24"/>
              </w:rPr>
              <w:lastRenderedPageBreak/>
              <w:t>students. To demonstrate completion of the in-person training, participants must attend the entire training, engage in daily Checks for Understanding and achieve a passing score on the summative performance task.</w:t>
            </w:r>
          </w:p>
        </w:tc>
      </w:tr>
    </w:tbl>
    <w:p w14:paraId="578E82A9" w14:textId="77777777" w:rsidR="00E51696" w:rsidRPr="00E51696" w:rsidRDefault="00E51696" w:rsidP="00E51696">
      <w:pPr>
        <w:jc w:val="right"/>
      </w:pPr>
    </w:p>
    <w:sectPr w:rsidR="00E51696" w:rsidRPr="00E51696" w:rsidSect="009A2EC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25249" w14:textId="77777777" w:rsidR="00EB59B3" w:rsidRDefault="00EB59B3" w:rsidP="009A2EC3">
      <w:pPr>
        <w:spacing w:after="0" w:line="240" w:lineRule="auto"/>
      </w:pPr>
      <w:r>
        <w:separator/>
      </w:r>
    </w:p>
  </w:endnote>
  <w:endnote w:type="continuationSeparator" w:id="0">
    <w:p w14:paraId="221DEC3C" w14:textId="77777777" w:rsidR="00EB59B3" w:rsidRDefault="00EB59B3"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D2B79" w14:textId="77777777" w:rsidR="00EB59B3" w:rsidRDefault="00EB59B3" w:rsidP="009A2EC3">
      <w:pPr>
        <w:spacing w:after="0" w:line="240" w:lineRule="auto"/>
      </w:pPr>
      <w:r>
        <w:separator/>
      </w:r>
    </w:p>
  </w:footnote>
  <w:footnote w:type="continuationSeparator" w:id="0">
    <w:p w14:paraId="70F00B2D" w14:textId="77777777" w:rsidR="00EB59B3" w:rsidRDefault="00EB59B3"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1462E"/>
    <w:rsid w:val="00040A40"/>
    <w:rsid w:val="0005072F"/>
    <w:rsid w:val="00075247"/>
    <w:rsid w:val="00122338"/>
    <w:rsid w:val="001A476B"/>
    <w:rsid w:val="00200889"/>
    <w:rsid w:val="00260572"/>
    <w:rsid w:val="00382DF5"/>
    <w:rsid w:val="003D5DAB"/>
    <w:rsid w:val="00415A20"/>
    <w:rsid w:val="00490FFA"/>
    <w:rsid w:val="005934C4"/>
    <w:rsid w:val="00595B3F"/>
    <w:rsid w:val="005B77D1"/>
    <w:rsid w:val="00680009"/>
    <w:rsid w:val="006B6BD7"/>
    <w:rsid w:val="007F57B8"/>
    <w:rsid w:val="00806EEC"/>
    <w:rsid w:val="00816DE3"/>
    <w:rsid w:val="00891E7E"/>
    <w:rsid w:val="009234F8"/>
    <w:rsid w:val="009735DA"/>
    <w:rsid w:val="009A2EC3"/>
    <w:rsid w:val="00A1328E"/>
    <w:rsid w:val="00B5546A"/>
    <w:rsid w:val="00B56328"/>
    <w:rsid w:val="00B87D71"/>
    <w:rsid w:val="00C402E0"/>
    <w:rsid w:val="00C8135C"/>
    <w:rsid w:val="00CB35AC"/>
    <w:rsid w:val="00CF62BA"/>
    <w:rsid w:val="00DE3183"/>
    <w:rsid w:val="00E13344"/>
    <w:rsid w:val="00E41A3C"/>
    <w:rsid w:val="00E51696"/>
    <w:rsid w:val="00EB59B3"/>
    <w:rsid w:val="00EF611E"/>
    <w:rsid w:val="00F1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A20"/>
    <w:rPr>
      <w:color w:val="0563C1" w:themeColor="hyperlink"/>
      <w:u w:val="single"/>
    </w:rPr>
  </w:style>
  <w:style w:type="character" w:styleId="UnresolvedMention">
    <w:name w:val="Unresolved Mention"/>
    <w:basedOn w:val="DefaultParagraphFont"/>
    <w:uiPriority w:val="99"/>
    <w:semiHidden/>
    <w:unhideWhenUsed/>
    <w:rsid w:val="00415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ntp.org/" TargetMode="External"/><Relationship Id="rId4" Type="http://schemas.openxmlformats.org/officeDocument/2006/relationships/styles" Target="styles.xml"/><Relationship Id="rId9" Type="http://schemas.openxmlformats.org/officeDocument/2006/relationships/hyperlink" Target="mailto:vanessa.valencia@tnt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Props1.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3.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6</cp:revision>
  <dcterms:created xsi:type="dcterms:W3CDTF">2024-09-24T22:19:00Z</dcterms:created>
  <dcterms:modified xsi:type="dcterms:W3CDTF">2024-09-24T22:21:00Z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