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81B37" w14:textId="77777777" w:rsidR="00CB57C9" w:rsidRDefault="00CB57C9" w:rsidP="00463CD5">
      <w:pPr>
        <w:spacing w:after="0"/>
        <w:jc w:val="center"/>
        <w:rPr>
          <w:rStyle w:val="IntenseReference"/>
          <w:sz w:val="56"/>
        </w:rPr>
      </w:pPr>
    </w:p>
    <w:p w14:paraId="0F18E819" w14:textId="77777777" w:rsidR="00CB57C9" w:rsidRDefault="00CB57C9" w:rsidP="00463CD5">
      <w:pPr>
        <w:spacing w:after="0"/>
        <w:jc w:val="center"/>
        <w:rPr>
          <w:rStyle w:val="IntenseReference"/>
          <w:sz w:val="56"/>
        </w:rPr>
      </w:pPr>
    </w:p>
    <w:p w14:paraId="498CB5C3" w14:textId="77777777" w:rsidR="00CB57C9" w:rsidRDefault="00CB57C9" w:rsidP="00463CD5">
      <w:pPr>
        <w:spacing w:after="0"/>
        <w:jc w:val="center"/>
        <w:rPr>
          <w:rStyle w:val="IntenseReference"/>
          <w:sz w:val="56"/>
        </w:rPr>
      </w:pPr>
      <w:r w:rsidRPr="00CB57C9">
        <w:rPr>
          <w:rStyle w:val="IntenseReference"/>
          <w:sz w:val="56"/>
        </w:rPr>
        <w:t xml:space="preserve">How The Colorado Department of Education </w:t>
      </w:r>
    </w:p>
    <w:p w14:paraId="3625D9E6" w14:textId="77777777" w:rsidR="00CB57C9" w:rsidRDefault="00CB57C9" w:rsidP="00463CD5">
      <w:pPr>
        <w:spacing w:after="0"/>
        <w:jc w:val="center"/>
        <w:rPr>
          <w:rStyle w:val="IntenseReference"/>
          <w:sz w:val="56"/>
        </w:rPr>
      </w:pPr>
      <w:r w:rsidRPr="00CB57C9">
        <w:rPr>
          <w:rStyle w:val="IntenseReference"/>
          <w:sz w:val="56"/>
        </w:rPr>
        <w:t xml:space="preserve">Exceptional Student Services Unit </w:t>
      </w:r>
    </w:p>
    <w:p w14:paraId="65252126" w14:textId="77777777" w:rsidR="00CB57C9" w:rsidRDefault="00CB57C9" w:rsidP="00463CD5">
      <w:pPr>
        <w:pBdr>
          <w:bottom w:val="single" w:sz="12" w:space="1" w:color="auto"/>
        </w:pBdr>
        <w:spacing w:after="0"/>
        <w:jc w:val="center"/>
        <w:rPr>
          <w:rStyle w:val="IntenseReference"/>
          <w:sz w:val="56"/>
        </w:rPr>
      </w:pPr>
      <w:r w:rsidRPr="00CB57C9">
        <w:rPr>
          <w:rStyle w:val="IntenseReference"/>
          <w:sz w:val="56"/>
        </w:rPr>
        <w:t xml:space="preserve">Made Determinations </w:t>
      </w:r>
    </w:p>
    <w:p w14:paraId="5C758B6A" w14:textId="77777777" w:rsidR="00CB57C9" w:rsidRDefault="00CB57C9" w:rsidP="00463CD5">
      <w:pPr>
        <w:pBdr>
          <w:bottom w:val="single" w:sz="12" w:space="1" w:color="auto"/>
        </w:pBdr>
        <w:spacing w:after="0"/>
        <w:jc w:val="center"/>
        <w:rPr>
          <w:rStyle w:val="SubtleEmphasis"/>
        </w:rPr>
      </w:pPr>
      <w:r w:rsidRPr="00CB57C9">
        <w:rPr>
          <w:rStyle w:val="IntenseReference"/>
          <w:sz w:val="56"/>
        </w:rPr>
        <w:t>201</w:t>
      </w:r>
      <w:r w:rsidR="00DF659A">
        <w:rPr>
          <w:rStyle w:val="IntenseReference"/>
          <w:sz w:val="56"/>
        </w:rPr>
        <w:t>8</w:t>
      </w:r>
    </w:p>
    <w:p w14:paraId="24724ED5" w14:textId="77777777" w:rsidR="00CB57C9" w:rsidRDefault="00CB57C9" w:rsidP="00463CD5">
      <w:pPr>
        <w:spacing w:after="0"/>
        <w:jc w:val="center"/>
        <w:rPr>
          <w:rStyle w:val="SubtleEmphasis"/>
          <w:sz w:val="28"/>
          <w:szCs w:val="28"/>
        </w:rPr>
      </w:pPr>
      <w:r w:rsidRPr="00CB57C9">
        <w:rPr>
          <w:rStyle w:val="SubtleEmphasis"/>
          <w:sz w:val="28"/>
          <w:szCs w:val="28"/>
        </w:rPr>
        <w:t>Under Section 616 (D) of the Individuals with Disabilities Education Act Part B</w:t>
      </w:r>
    </w:p>
    <w:p w14:paraId="5046F561" w14:textId="77777777" w:rsidR="00CB57C9" w:rsidRDefault="00CB57C9" w:rsidP="00463CD5">
      <w:pPr>
        <w:spacing w:after="0"/>
        <w:jc w:val="center"/>
        <w:rPr>
          <w:rStyle w:val="SubtleEmphasis"/>
          <w:sz w:val="28"/>
          <w:szCs w:val="28"/>
        </w:rPr>
      </w:pPr>
    </w:p>
    <w:p w14:paraId="4D406653" w14:textId="77777777" w:rsidR="00CB57C9" w:rsidRDefault="00CB57C9" w:rsidP="00463CD5">
      <w:pPr>
        <w:spacing w:after="0"/>
        <w:rPr>
          <w:rStyle w:val="SubtleEmphasis"/>
          <w:sz w:val="28"/>
          <w:szCs w:val="28"/>
        </w:rPr>
      </w:pPr>
      <w:r>
        <w:rPr>
          <w:rStyle w:val="SubtleEmphasis"/>
          <w:sz w:val="28"/>
          <w:szCs w:val="28"/>
        </w:rPr>
        <w:br w:type="page"/>
      </w:r>
    </w:p>
    <w:p w14:paraId="3AA2610F" w14:textId="77777777" w:rsidR="00CB57C9" w:rsidRDefault="00CB57C9" w:rsidP="00463CD5">
      <w:pPr>
        <w:pStyle w:val="Heading1"/>
      </w:pPr>
      <w:r>
        <w:lastRenderedPageBreak/>
        <w:t>INTRODUCTION</w:t>
      </w:r>
    </w:p>
    <w:p w14:paraId="02724D4D" w14:textId="77777777" w:rsidR="00CB57C9" w:rsidRDefault="00CB57C9" w:rsidP="00463CD5">
      <w:pPr>
        <w:spacing w:after="0"/>
      </w:pPr>
    </w:p>
    <w:p w14:paraId="760C3612" w14:textId="77777777" w:rsidR="00CB57C9" w:rsidRDefault="00CB57C9" w:rsidP="00463CD5">
      <w:pPr>
        <w:spacing w:after="0"/>
      </w:pPr>
      <w:r>
        <w:t>In 201</w:t>
      </w:r>
      <w:r w:rsidR="00DF659A">
        <w:t>8</w:t>
      </w:r>
      <w:r>
        <w:t>, the Colorado Department of Education Exceptional Student Services Unit (ESSU) is using both compliance and results matrices in making determinations for each Administrative Unit (AU) under section 616(d) of the individuals with Disabilities Education Act (IDEA). Using the Result Matrix developed by the Result Matrix Workgroup and the preexisting Compliance Matrix, we considered the totality of the information we have about an AU. The information ranged from traditional compliance topics such as timely evaluations of IEPs and the significant discrepancy in suspension and expulsion by race/ethnicity to results-oriented topics such as state assessment outcomes, graduation rate, and dropout rate. We also examined Special Conditions which included state complaints and other issues related to the AUs’ compliance with the IDEA. All of th</w:t>
      </w:r>
      <w:r w:rsidR="00DF659A">
        <w:t>ese data considered for the 2018</w:t>
      </w:r>
      <w:r>
        <w:t xml:space="preserve"> det</w:t>
      </w:r>
      <w:r w:rsidR="00DF659A">
        <w:t>ermination were from the 2016-17</w:t>
      </w:r>
      <w:r>
        <w:t xml:space="preserve"> school year. Below is a detailed description of how ESSU evaluated the AUs’ data</w:t>
      </w:r>
      <w:r w:rsidR="00AD6552">
        <w:t xml:space="preserve"> to make determination</w:t>
      </w:r>
      <w:r w:rsidR="003766F7">
        <w:t>s</w:t>
      </w:r>
      <w:r>
        <w:t>.</w:t>
      </w:r>
    </w:p>
    <w:p w14:paraId="4D834C19" w14:textId="77777777" w:rsidR="00CB57C9" w:rsidRDefault="00CB57C9" w:rsidP="00463CD5">
      <w:pPr>
        <w:spacing w:after="0"/>
      </w:pPr>
      <w:r>
        <w:t xml:space="preserve">The </w:t>
      </w:r>
      <w:r w:rsidR="00AD6552">
        <w:t>Determination</w:t>
      </w:r>
      <w:r w:rsidR="00DF659A">
        <w:t xml:space="preserve"> 2018</w:t>
      </w:r>
      <w:r>
        <w:t xml:space="preserve"> consists of:</w:t>
      </w:r>
    </w:p>
    <w:p w14:paraId="410B39B7" w14:textId="77777777" w:rsidR="00CB57C9" w:rsidRDefault="00CB57C9" w:rsidP="00463CD5">
      <w:pPr>
        <w:numPr>
          <w:ilvl w:val="0"/>
          <w:numId w:val="1"/>
        </w:numPr>
        <w:spacing w:after="0"/>
        <w:ind w:hanging="360"/>
        <w:contextualSpacing/>
      </w:pPr>
      <w:r>
        <w:t xml:space="preserve">A </w:t>
      </w:r>
      <w:r>
        <w:rPr>
          <w:b/>
        </w:rPr>
        <w:t>Compliance Matrix</w:t>
      </w:r>
      <w:r>
        <w:t xml:space="preserve"> that includes scoring on </w:t>
      </w:r>
      <w:r w:rsidR="003766F7">
        <w:t xml:space="preserve">the </w:t>
      </w:r>
      <w:r>
        <w:t>S</w:t>
      </w:r>
      <w:r w:rsidR="003766F7">
        <w:t xml:space="preserve">tate Performance </w:t>
      </w:r>
      <w:r>
        <w:t>P</w:t>
      </w:r>
      <w:r w:rsidR="003766F7">
        <w:t>lan (SPP)</w:t>
      </w:r>
      <w:r>
        <w:t xml:space="preserve"> Compliance Indicators and other compliance factors</w:t>
      </w:r>
    </w:p>
    <w:p w14:paraId="66B20B21" w14:textId="77777777" w:rsidR="00CB57C9" w:rsidRDefault="00CB57C9" w:rsidP="00463CD5">
      <w:pPr>
        <w:numPr>
          <w:ilvl w:val="0"/>
          <w:numId w:val="1"/>
        </w:numPr>
        <w:spacing w:after="0"/>
        <w:ind w:hanging="360"/>
        <w:contextualSpacing/>
      </w:pPr>
      <w:r>
        <w:t xml:space="preserve">A </w:t>
      </w:r>
      <w:r>
        <w:rPr>
          <w:b/>
        </w:rPr>
        <w:t>Results Matrix</w:t>
      </w:r>
      <w:r>
        <w:t xml:space="preserve"> that includes scoring on Results Elements</w:t>
      </w:r>
    </w:p>
    <w:p w14:paraId="5761CF2C" w14:textId="77777777" w:rsidR="00CB57C9" w:rsidRDefault="00CB57C9" w:rsidP="00463CD5">
      <w:pPr>
        <w:numPr>
          <w:ilvl w:val="0"/>
          <w:numId w:val="1"/>
        </w:numPr>
        <w:spacing w:after="0"/>
        <w:ind w:hanging="360"/>
        <w:contextualSpacing/>
      </w:pPr>
      <w:r>
        <w:t xml:space="preserve">A </w:t>
      </w:r>
      <w:r>
        <w:rPr>
          <w:b/>
        </w:rPr>
        <w:t>Compliance Score</w:t>
      </w:r>
      <w:r>
        <w:t xml:space="preserve"> and </w:t>
      </w:r>
      <w:r>
        <w:rPr>
          <w:b/>
        </w:rPr>
        <w:t>Compliance Determination</w:t>
      </w:r>
    </w:p>
    <w:p w14:paraId="5E55B12F" w14:textId="77777777" w:rsidR="00CB57C9" w:rsidRDefault="00CB57C9" w:rsidP="00463CD5">
      <w:pPr>
        <w:numPr>
          <w:ilvl w:val="0"/>
          <w:numId w:val="1"/>
        </w:numPr>
        <w:spacing w:after="0"/>
        <w:ind w:hanging="360"/>
        <w:contextualSpacing/>
      </w:pPr>
      <w:r>
        <w:t>A</w:t>
      </w:r>
      <w:r>
        <w:rPr>
          <w:b/>
        </w:rPr>
        <w:t xml:space="preserve"> Results Score </w:t>
      </w:r>
      <w:r>
        <w:t>and</w:t>
      </w:r>
      <w:r>
        <w:rPr>
          <w:b/>
        </w:rPr>
        <w:t xml:space="preserve"> Results Determination</w:t>
      </w:r>
    </w:p>
    <w:p w14:paraId="187B4EFD" w14:textId="77777777" w:rsidR="00CB57C9" w:rsidRDefault="00CB57C9" w:rsidP="00463CD5">
      <w:pPr>
        <w:numPr>
          <w:ilvl w:val="0"/>
          <w:numId w:val="1"/>
        </w:numPr>
        <w:spacing w:after="0"/>
        <w:ind w:hanging="360"/>
        <w:contextualSpacing/>
      </w:pPr>
      <w:r>
        <w:t xml:space="preserve">An </w:t>
      </w:r>
      <w:r>
        <w:rPr>
          <w:b/>
        </w:rPr>
        <w:t xml:space="preserve">AU </w:t>
      </w:r>
      <w:r w:rsidR="00DA7209">
        <w:rPr>
          <w:b/>
        </w:rPr>
        <w:t>Percentage</w:t>
      </w:r>
      <w:r>
        <w:t xml:space="preserve"> based on the Compliance Score and the Results Score. The Compliance Score is weighted at </w:t>
      </w:r>
      <w:r>
        <w:rPr>
          <w:b/>
        </w:rPr>
        <w:t xml:space="preserve">75% </w:t>
      </w:r>
      <w:r>
        <w:t xml:space="preserve">and the Results Score is weighted at </w:t>
      </w:r>
      <w:r>
        <w:rPr>
          <w:b/>
        </w:rPr>
        <w:t>25%</w:t>
      </w:r>
      <w:r>
        <w:t xml:space="preserve"> to calculate the AU </w:t>
      </w:r>
      <w:r w:rsidR="00DA7209">
        <w:t>Percentage</w:t>
      </w:r>
      <w:r>
        <w:t>.</w:t>
      </w:r>
    </w:p>
    <w:p w14:paraId="4D91FD80" w14:textId="77777777" w:rsidR="00CB57C9" w:rsidRDefault="00CB57C9" w:rsidP="00463CD5">
      <w:pPr>
        <w:numPr>
          <w:ilvl w:val="0"/>
          <w:numId w:val="1"/>
        </w:numPr>
        <w:spacing w:after="0"/>
        <w:ind w:hanging="360"/>
        <w:contextualSpacing/>
      </w:pPr>
      <w:r>
        <w:t xml:space="preserve">A consideration of </w:t>
      </w:r>
      <w:r>
        <w:rPr>
          <w:b/>
        </w:rPr>
        <w:t>Special Conditions</w:t>
      </w:r>
    </w:p>
    <w:p w14:paraId="74B6FD2D" w14:textId="77777777" w:rsidR="00CB57C9" w:rsidRDefault="00CB57C9" w:rsidP="00463CD5">
      <w:pPr>
        <w:numPr>
          <w:ilvl w:val="0"/>
          <w:numId w:val="1"/>
        </w:numPr>
        <w:spacing w:after="0"/>
        <w:ind w:hanging="360"/>
        <w:contextualSpacing/>
      </w:pPr>
      <w:r>
        <w:t xml:space="preserve">The AU’s </w:t>
      </w:r>
      <w:r>
        <w:rPr>
          <w:b/>
        </w:rPr>
        <w:t>Determination</w:t>
      </w:r>
    </w:p>
    <w:p w14:paraId="2B1B93D8" w14:textId="77777777" w:rsidR="00CB57C9" w:rsidRDefault="00CB57C9" w:rsidP="00463CD5">
      <w:pPr>
        <w:spacing w:after="0"/>
      </w:pPr>
      <w:r>
        <w:br w:type="page"/>
      </w:r>
    </w:p>
    <w:p w14:paraId="5C039FE8" w14:textId="77777777" w:rsidR="00CB57C9" w:rsidRDefault="00CB57C9" w:rsidP="00463CD5">
      <w:pPr>
        <w:pStyle w:val="Heading1"/>
        <w:spacing w:before="120"/>
      </w:pPr>
      <w:r>
        <w:lastRenderedPageBreak/>
        <w:t>THE 201</w:t>
      </w:r>
      <w:r w:rsidR="00DF659A">
        <w:t>8</w:t>
      </w:r>
      <w:r>
        <w:t xml:space="preserve"> PART B COMPLIANCE MATRIX</w:t>
      </w:r>
    </w:p>
    <w:p w14:paraId="121A6A57" w14:textId="77777777" w:rsidR="00FF3F6C" w:rsidRDefault="00FF3F6C" w:rsidP="00463CD5">
      <w:pPr>
        <w:spacing w:after="0" w:line="240" w:lineRule="auto"/>
      </w:pPr>
    </w:p>
    <w:p w14:paraId="1A6E4407" w14:textId="77777777" w:rsidR="00CB57C9" w:rsidRDefault="00CB57C9" w:rsidP="00463CD5">
      <w:pPr>
        <w:spacing w:after="0" w:line="240" w:lineRule="auto"/>
      </w:pPr>
      <w:r>
        <w:t>In making each AU’s 201</w:t>
      </w:r>
      <w:r w:rsidR="007614E9">
        <w:t>8</w:t>
      </w:r>
      <w:r>
        <w:t xml:space="preserve"> determination, ESSU used the Compliance Matrix, reflecting the following data:</w:t>
      </w:r>
    </w:p>
    <w:p w14:paraId="133491C5" w14:textId="77777777" w:rsidR="00CB57C9" w:rsidRDefault="007614E9" w:rsidP="00463CD5">
      <w:pPr>
        <w:numPr>
          <w:ilvl w:val="0"/>
          <w:numId w:val="2"/>
        </w:numPr>
        <w:spacing w:after="0" w:line="240" w:lineRule="auto"/>
        <w:ind w:hanging="360"/>
        <w:contextualSpacing/>
      </w:pPr>
      <w:r>
        <w:t>The AU’s SY2016-17</w:t>
      </w:r>
      <w:r w:rsidR="00CB57C9">
        <w:t xml:space="preserve"> data for the following Part B Indicators:</w:t>
      </w:r>
    </w:p>
    <w:p w14:paraId="62C8E225" w14:textId="77777777" w:rsidR="00CB57C9" w:rsidRDefault="00CB57C9" w:rsidP="00463CD5">
      <w:pPr>
        <w:numPr>
          <w:ilvl w:val="1"/>
          <w:numId w:val="2"/>
        </w:numPr>
        <w:spacing w:after="0" w:line="240" w:lineRule="auto"/>
        <w:ind w:hanging="360"/>
        <w:contextualSpacing/>
      </w:pPr>
      <w:r>
        <w:t>4A</w:t>
      </w:r>
      <w:r>
        <w:rPr>
          <w:vertAlign w:val="superscript"/>
        </w:rPr>
        <w:footnoteReference w:id="1"/>
      </w:r>
      <w:r>
        <w:t xml:space="preserve"> - Significant discrepancy of suspension/expulsion compared to State</w:t>
      </w:r>
    </w:p>
    <w:p w14:paraId="4F988C64" w14:textId="77777777" w:rsidR="00CB57C9" w:rsidRDefault="00CB57C9" w:rsidP="00463CD5">
      <w:pPr>
        <w:numPr>
          <w:ilvl w:val="1"/>
          <w:numId w:val="2"/>
        </w:numPr>
        <w:spacing w:after="0" w:line="240" w:lineRule="auto"/>
        <w:ind w:hanging="360"/>
        <w:contextualSpacing/>
      </w:pPr>
      <w:r>
        <w:t xml:space="preserve">4B – Significant discrepancy of suspension/expulsion compared to State by race/ethnicity </w:t>
      </w:r>
    </w:p>
    <w:p w14:paraId="2A4EC833" w14:textId="77777777" w:rsidR="00CB57C9" w:rsidRDefault="00CB57C9" w:rsidP="00463CD5">
      <w:pPr>
        <w:numPr>
          <w:ilvl w:val="1"/>
          <w:numId w:val="2"/>
        </w:numPr>
        <w:spacing w:after="0" w:line="240" w:lineRule="auto"/>
        <w:ind w:hanging="360"/>
        <w:contextualSpacing/>
      </w:pPr>
      <w:r>
        <w:t xml:space="preserve">9 – Disproportionate representation in special education by race/ethnicity </w:t>
      </w:r>
    </w:p>
    <w:p w14:paraId="2B630746" w14:textId="77777777" w:rsidR="00CB57C9" w:rsidRDefault="00CB57C9" w:rsidP="00463CD5">
      <w:pPr>
        <w:numPr>
          <w:ilvl w:val="1"/>
          <w:numId w:val="2"/>
        </w:numPr>
        <w:spacing w:after="0" w:line="240" w:lineRule="auto"/>
        <w:ind w:hanging="360"/>
        <w:contextualSpacing/>
      </w:pPr>
      <w:r>
        <w:t>10 – Disproportionate representation in specific disability categories by race/ethnicity</w:t>
      </w:r>
    </w:p>
    <w:p w14:paraId="111ACB7E" w14:textId="77777777" w:rsidR="00CB57C9" w:rsidRDefault="00CB57C9" w:rsidP="00463CD5">
      <w:pPr>
        <w:numPr>
          <w:ilvl w:val="1"/>
          <w:numId w:val="2"/>
        </w:numPr>
        <w:spacing w:after="0" w:line="240" w:lineRule="auto"/>
        <w:ind w:hanging="360"/>
        <w:contextualSpacing/>
      </w:pPr>
      <w:r>
        <w:t>11 – Timely IEP evaluation</w:t>
      </w:r>
    </w:p>
    <w:p w14:paraId="4BFD6A0E" w14:textId="77777777" w:rsidR="00CB57C9" w:rsidRDefault="00CB57C9" w:rsidP="00463CD5">
      <w:pPr>
        <w:numPr>
          <w:ilvl w:val="1"/>
          <w:numId w:val="2"/>
        </w:numPr>
        <w:spacing w:after="0" w:line="240" w:lineRule="auto"/>
        <w:ind w:hanging="360"/>
        <w:contextualSpacing/>
      </w:pPr>
      <w:r>
        <w:t>12 – Timely Part-C-to-B transition</w:t>
      </w:r>
    </w:p>
    <w:p w14:paraId="53DA674A" w14:textId="77777777" w:rsidR="00CB57C9" w:rsidRDefault="00CB57C9" w:rsidP="00463CD5">
      <w:pPr>
        <w:numPr>
          <w:ilvl w:val="1"/>
          <w:numId w:val="2"/>
        </w:numPr>
        <w:spacing w:after="0" w:line="240" w:lineRule="auto"/>
        <w:ind w:hanging="360"/>
        <w:contextualSpacing/>
      </w:pPr>
      <w:r>
        <w:t xml:space="preserve">13 – Secondary transition with IEP goals </w:t>
      </w:r>
    </w:p>
    <w:p w14:paraId="7CB9514E" w14:textId="77777777" w:rsidR="00CB57C9" w:rsidRDefault="00CB57C9" w:rsidP="00463CD5">
      <w:pPr>
        <w:numPr>
          <w:ilvl w:val="0"/>
          <w:numId w:val="2"/>
        </w:numPr>
        <w:spacing w:after="0" w:line="240" w:lineRule="auto"/>
        <w:ind w:hanging="360"/>
        <w:contextualSpacing/>
      </w:pPr>
      <w:r>
        <w:t>The timeliness and accuracy of data submitted by the AUs under section 616 and 618 of the IDEA;</w:t>
      </w:r>
    </w:p>
    <w:p w14:paraId="6C710BDA" w14:textId="77777777" w:rsidR="00792F14" w:rsidRDefault="00792F14" w:rsidP="00463CD5">
      <w:pPr>
        <w:spacing w:after="0" w:line="240" w:lineRule="auto"/>
        <w:ind w:left="720"/>
        <w:contextualSpacing/>
      </w:pPr>
    </w:p>
    <w:p w14:paraId="47E0A766" w14:textId="77777777" w:rsidR="00CB57C9" w:rsidRDefault="00CB57C9" w:rsidP="00463CD5">
      <w:pPr>
        <w:pStyle w:val="Heading2"/>
        <w:spacing w:line="240" w:lineRule="auto"/>
        <w:contextualSpacing/>
      </w:pPr>
      <w:r>
        <w:t>Scoring of the Compliance Matrix</w:t>
      </w:r>
    </w:p>
    <w:p w14:paraId="0823F935" w14:textId="71122E15" w:rsidR="00792F14" w:rsidRDefault="00CB57C9" w:rsidP="00463CD5">
      <w:pPr>
        <w:spacing w:after="0" w:line="240" w:lineRule="auto"/>
        <w:contextualSpacing/>
      </w:pPr>
      <w:r>
        <w:t>The Compliance Matrix indicates a score of 0, 1, or 2, for each of the indicators in item 1 and 2 above. Using the cumulative possible number of points as the denominator, and using the actual points the AU received in its scoring under these factors</w:t>
      </w:r>
      <w:r w:rsidRPr="00324297">
        <w:t xml:space="preserve"> </w:t>
      </w:r>
      <w:r>
        <w:t>as the numerator, the Compliance Matrix reflects a Compliance Score and Compliance Determination</w:t>
      </w:r>
      <w:r w:rsidR="005109AB">
        <w:t>.</w:t>
      </w:r>
    </w:p>
    <w:p w14:paraId="617EDC94" w14:textId="77777777" w:rsidR="005109AB" w:rsidRDefault="005109AB" w:rsidP="00463CD5">
      <w:pPr>
        <w:spacing w:after="0" w:line="240" w:lineRule="auto"/>
        <w:contextualSpacing/>
      </w:pPr>
    </w:p>
    <w:p w14:paraId="671C215F" w14:textId="77777777" w:rsidR="00CB57C9" w:rsidRDefault="00CB57C9" w:rsidP="00463CD5">
      <w:pPr>
        <w:pStyle w:val="Heading2"/>
        <w:spacing w:line="240" w:lineRule="auto"/>
        <w:contextualSpacing/>
      </w:pPr>
      <w:r>
        <w:t>Scoring of Indicators 4A, 4B, 9, 10, 11, 12, and 13</w:t>
      </w:r>
      <w:r>
        <w:rPr>
          <w:rStyle w:val="FootnoteReference"/>
        </w:rPr>
        <w:footnoteReference w:id="2"/>
      </w:r>
    </w:p>
    <w:p w14:paraId="3D391F6A" w14:textId="77777777" w:rsidR="00CB57C9" w:rsidRDefault="00CB57C9" w:rsidP="00463CD5">
      <w:pPr>
        <w:spacing w:after="0" w:line="240" w:lineRule="auto"/>
        <w:contextualSpacing/>
      </w:pPr>
      <w:r>
        <w:t>In Compliance Matrix, an AU received points as follows for each of Indicators 11, 12, and 13:</w:t>
      </w:r>
    </w:p>
    <w:p w14:paraId="5377008B" w14:textId="77777777" w:rsidR="00CB57C9" w:rsidRDefault="00CB57C9" w:rsidP="00463CD5">
      <w:pPr>
        <w:pStyle w:val="ListParagraph"/>
        <w:numPr>
          <w:ilvl w:val="0"/>
          <w:numId w:val="3"/>
        </w:numPr>
        <w:spacing w:after="0"/>
      </w:pPr>
      <w:r>
        <w:t>2 points if the indicators reflect at least 95%</w:t>
      </w:r>
      <w:r>
        <w:rPr>
          <w:rStyle w:val="FootnoteReference"/>
        </w:rPr>
        <w:footnoteReference w:id="3"/>
      </w:r>
      <w:r>
        <w:t xml:space="preserve"> compliance.</w:t>
      </w:r>
    </w:p>
    <w:p w14:paraId="175CC8F0" w14:textId="77777777" w:rsidR="00CB57C9" w:rsidRDefault="00792F14" w:rsidP="00463CD5">
      <w:pPr>
        <w:pStyle w:val="ListParagraph"/>
        <w:numPr>
          <w:ilvl w:val="0"/>
          <w:numId w:val="3"/>
        </w:numPr>
        <w:spacing w:after="0"/>
      </w:pPr>
      <w:r>
        <w:t>1 point if indicators reflect at least 75% and less than 95% compliance.</w:t>
      </w:r>
    </w:p>
    <w:p w14:paraId="5D955D00" w14:textId="77777777" w:rsidR="00792F14" w:rsidRDefault="00792F14" w:rsidP="00463CD5">
      <w:pPr>
        <w:pStyle w:val="ListParagraph"/>
        <w:numPr>
          <w:ilvl w:val="0"/>
          <w:numId w:val="3"/>
        </w:numPr>
        <w:spacing w:after="0"/>
      </w:pPr>
      <w:r>
        <w:t>0 point</w:t>
      </w:r>
      <w:r w:rsidR="00ED2096">
        <w:t>s</w:t>
      </w:r>
      <w:r>
        <w:t xml:space="preserve"> if;</w:t>
      </w:r>
    </w:p>
    <w:p w14:paraId="461DC395" w14:textId="77777777" w:rsidR="00792F14" w:rsidRDefault="00792F14" w:rsidP="00463CD5">
      <w:pPr>
        <w:pStyle w:val="ListParagraph"/>
        <w:numPr>
          <w:ilvl w:val="1"/>
          <w:numId w:val="3"/>
        </w:numPr>
        <w:spacing w:after="0"/>
      </w:pPr>
      <w:r>
        <w:t>The indicators reflect less than 75% compliance; or</w:t>
      </w:r>
    </w:p>
    <w:p w14:paraId="7EE50B42" w14:textId="77777777" w:rsidR="00792F14" w:rsidRDefault="00792F14" w:rsidP="00463CD5">
      <w:pPr>
        <w:pStyle w:val="ListParagraph"/>
        <w:numPr>
          <w:ilvl w:val="1"/>
          <w:numId w:val="3"/>
        </w:numPr>
        <w:spacing w:after="0"/>
      </w:pPr>
      <w:r>
        <w:t>The indicators reflect less than 95% compliance for the current and previous year.</w:t>
      </w:r>
    </w:p>
    <w:p w14:paraId="33EDE4E7" w14:textId="77777777" w:rsidR="009F70CC" w:rsidRDefault="009F70CC" w:rsidP="007614E9">
      <w:pPr>
        <w:pStyle w:val="ListParagraph"/>
        <w:spacing w:after="0"/>
        <w:ind w:left="1440"/>
      </w:pPr>
    </w:p>
    <w:p w14:paraId="48734A8F" w14:textId="77777777" w:rsidR="00792F14" w:rsidRDefault="00792F14" w:rsidP="00463CD5">
      <w:pPr>
        <w:spacing w:after="0"/>
      </w:pPr>
      <w:r>
        <w:t>In the Compliance Matrix, an AU received points as follows for each of the indicators 4A, 4B, 9, and 10:</w:t>
      </w:r>
    </w:p>
    <w:p w14:paraId="0A002539" w14:textId="77777777" w:rsidR="00792F14" w:rsidRDefault="00792F14" w:rsidP="00463CD5">
      <w:pPr>
        <w:pStyle w:val="ListParagraph"/>
        <w:numPr>
          <w:ilvl w:val="0"/>
          <w:numId w:val="4"/>
        </w:numPr>
        <w:spacing w:after="0"/>
      </w:pPr>
      <w:r>
        <w:t>2 points if;</w:t>
      </w:r>
    </w:p>
    <w:p w14:paraId="42A0A3F2" w14:textId="77777777" w:rsidR="00792F14" w:rsidRDefault="00792F14" w:rsidP="00463CD5">
      <w:pPr>
        <w:pStyle w:val="ListParagraph"/>
        <w:numPr>
          <w:ilvl w:val="1"/>
          <w:numId w:val="4"/>
        </w:numPr>
        <w:spacing w:after="0"/>
      </w:pPr>
      <w:r>
        <w:t>The rate of children with disabilities who received suspensions/expulsions for greater than 10 days in a school year was below the set threshold for Indicator 4A.</w:t>
      </w:r>
    </w:p>
    <w:p w14:paraId="27BE4326" w14:textId="77777777" w:rsidR="00792F14" w:rsidRDefault="00792F14" w:rsidP="00463CD5">
      <w:pPr>
        <w:pStyle w:val="ListParagraph"/>
        <w:numPr>
          <w:ilvl w:val="1"/>
          <w:numId w:val="4"/>
        </w:numPr>
        <w:spacing w:after="0"/>
      </w:pPr>
      <w:r>
        <w:t>No racial category was found with significant discrepancy for Indicator 4B.</w:t>
      </w:r>
    </w:p>
    <w:p w14:paraId="6D18BC6D" w14:textId="5A220085" w:rsidR="004F3CC6" w:rsidRDefault="00792F14" w:rsidP="00463CD5">
      <w:pPr>
        <w:pStyle w:val="ListParagraph"/>
        <w:numPr>
          <w:ilvl w:val="1"/>
          <w:numId w:val="4"/>
        </w:numPr>
        <w:spacing w:after="0"/>
      </w:pPr>
      <w:r>
        <w:t>No racial category was found with disproportionate rep</w:t>
      </w:r>
      <w:r w:rsidR="004F3CC6">
        <w:t>resentation in identification of students as students with disabilities in Indicators 9.</w:t>
      </w:r>
    </w:p>
    <w:p w14:paraId="4922C02D" w14:textId="53830247" w:rsidR="00792F14" w:rsidRDefault="004F3CC6" w:rsidP="00463CD5">
      <w:pPr>
        <w:pStyle w:val="ListParagraph"/>
        <w:numPr>
          <w:ilvl w:val="1"/>
          <w:numId w:val="4"/>
        </w:numPr>
        <w:spacing w:after="0"/>
      </w:pPr>
      <w:r>
        <w:lastRenderedPageBreak/>
        <w:t>No racial category was found with disproportionate representation in identification of specific disability category in Indicator</w:t>
      </w:r>
      <w:r w:rsidR="00792F14">
        <w:t xml:space="preserve"> 10.</w:t>
      </w:r>
    </w:p>
    <w:p w14:paraId="5533611A" w14:textId="77777777" w:rsidR="009F70CC" w:rsidRDefault="009F70CC" w:rsidP="009F70CC">
      <w:pPr>
        <w:pStyle w:val="ListParagraph"/>
        <w:spacing w:after="0"/>
      </w:pPr>
    </w:p>
    <w:p w14:paraId="2F210BB9" w14:textId="77777777" w:rsidR="00792F14" w:rsidRDefault="00792F14" w:rsidP="00463CD5">
      <w:pPr>
        <w:pStyle w:val="ListParagraph"/>
        <w:numPr>
          <w:ilvl w:val="0"/>
          <w:numId w:val="4"/>
        </w:numPr>
        <w:spacing w:after="0"/>
      </w:pPr>
      <w:r>
        <w:t>1 point if;</w:t>
      </w:r>
    </w:p>
    <w:p w14:paraId="21CB738D" w14:textId="77777777" w:rsidR="00792F14" w:rsidRDefault="00792F14" w:rsidP="00463CD5">
      <w:pPr>
        <w:pStyle w:val="ListParagraph"/>
        <w:numPr>
          <w:ilvl w:val="1"/>
          <w:numId w:val="4"/>
        </w:numPr>
        <w:spacing w:after="0"/>
      </w:pPr>
      <w:r>
        <w:t>The rate of children with disabilities who received suspensions/expulsions for greater than 10 days in a school year was above the set threshold for Indicator 4A.</w:t>
      </w:r>
    </w:p>
    <w:p w14:paraId="151CBCAB" w14:textId="77777777" w:rsidR="00792F14" w:rsidRDefault="00792F14" w:rsidP="00463CD5">
      <w:pPr>
        <w:pStyle w:val="ListParagraph"/>
        <w:numPr>
          <w:ilvl w:val="1"/>
          <w:numId w:val="4"/>
        </w:numPr>
        <w:spacing w:after="0"/>
      </w:pPr>
      <w:r>
        <w:t>At least one racial category was found with significant discrepancy for Indicator 4B.</w:t>
      </w:r>
    </w:p>
    <w:p w14:paraId="30992800" w14:textId="595E8A98" w:rsidR="004346CA" w:rsidRDefault="004346CA" w:rsidP="004346CA">
      <w:pPr>
        <w:pStyle w:val="ListParagraph"/>
        <w:numPr>
          <w:ilvl w:val="1"/>
          <w:numId w:val="4"/>
        </w:numPr>
        <w:spacing w:after="0"/>
      </w:pPr>
      <w:r>
        <w:t>At least one racial category was found with disproportionate representation in identification of students as students with disabilities in Indicators 9.</w:t>
      </w:r>
    </w:p>
    <w:p w14:paraId="7EA04D9B" w14:textId="6B412BCD" w:rsidR="004346CA" w:rsidRDefault="004346CA" w:rsidP="004346CA">
      <w:pPr>
        <w:pStyle w:val="ListParagraph"/>
        <w:numPr>
          <w:ilvl w:val="1"/>
          <w:numId w:val="4"/>
        </w:numPr>
        <w:spacing w:after="0"/>
      </w:pPr>
      <w:r>
        <w:t>At least one racial category was found with disproportionate representation in identification of specific disability category in Indicator 10.</w:t>
      </w:r>
    </w:p>
    <w:p w14:paraId="66CE29B1" w14:textId="77777777" w:rsidR="004346CA" w:rsidRDefault="004346CA" w:rsidP="004346CA">
      <w:pPr>
        <w:pStyle w:val="ListParagraph"/>
        <w:spacing w:after="0"/>
      </w:pPr>
    </w:p>
    <w:p w14:paraId="3AD0F34F" w14:textId="77777777" w:rsidR="00792F14" w:rsidRDefault="00792F14" w:rsidP="00463CD5">
      <w:pPr>
        <w:pStyle w:val="ListParagraph"/>
        <w:numPr>
          <w:ilvl w:val="0"/>
          <w:numId w:val="4"/>
        </w:numPr>
        <w:spacing w:after="0"/>
      </w:pPr>
      <w:r>
        <w:t>0 point</w:t>
      </w:r>
      <w:r w:rsidR="00ED2096">
        <w:t>s</w:t>
      </w:r>
      <w:r>
        <w:t xml:space="preserve"> if;</w:t>
      </w:r>
    </w:p>
    <w:p w14:paraId="7D12F74F" w14:textId="77777777" w:rsidR="00792F14" w:rsidRPr="0025700B" w:rsidRDefault="00792F14" w:rsidP="00463CD5">
      <w:pPr>
        <w:pStyle w:val="ListParagraph"/>
        <w:numPr>
          <w:ilvl w:val="1"/>
          <w:numId w:val="4"/>
        </w:numPr>
        <w:spacing w:after="0" w:line="240" w:lineRule="auto"/>
      </w:pPr>
      <w:r>
        <w:t xml:space="preserve">The rate of children with disabilities who received suspensions/expulsions for greater than 10 days in a school year was above the set threshold for Indicator 4A for </w:t>
      </w:r>
      <w:r w:rsidR="007614E9">
        <w:t xml:space="preserve">the current and the </w:t>
      </w:r>
      <w:r w:rsidRPr="0025700B">
        <w:t>previous</w:t>
      </w:r>
      <w:r w:rsidR="007614E9">
        <w:t xml:space="preserve"> two</w:t>
      </w:r>
      <w:r w:rsidRPr="0025700B">
        <w:t xml:space="preserve"> </w:t>
      </w:r>
      <w:r w:rsidR="007614E9">
        <w:t xml:space="preserve">school </w:t>
      </w:r>
      <w:r w:rsidRPr="0025700B">
        <w:t>year</w:t>
      </w:r>
      <w:r w:rsidR="007614E9">
        <w:t>s</w:t>
      </w:r>
      <w:r w:rsidRPr="0025700B">
        <w:t>.</w:t>
      </w:r>
    </w:p>
    <w:p w14:paraId="5BA69B31" w14:textId="77777777" w:rsidR="00792F14" w:rsidRPr="0025700B" w:rsidRDefault="00792F14" w:rsidP="00463CD5">
      <w:pPr>
        <w:pStyle w:val="ListParagraph"/>
        <w:numPr>
          <w:ilvl w:val="1"/>
          <w:numId w:val="4"/>
        </w:numPr>
        <w:spacing w:after="0" w:line="240" w:lineRule="auto"/>
      </w:pPr>
      <w:r w:rsidRPr="0025700B">
        <w:t xml:space="preserve">1) At least one racial category was found with significant discrepancy for Indicator 4B for </w:t>
      </w:r>
      <w:r w:rsidR="007614E9">
        <w:t xml:space="preserve">the current and the </w:t>
      </w:r>
      <w:r w:rsidR="007614E9" w:rsidRPr="0025700B">
        <w:t>previous</w:t>
      </w:r>
      <w:r w:rsidR="007614E9">
        <w:t xml:space="preserve"> two</w:t>
      </w:r>
      <w:r w:rsidR="007614E9" w:rsidRPr="0025700B">
        <w:t xml:space="preserve"> </w:t>
      </w:r>
      <w:r w:rsidR="007614E9">
        <w:t xml:space="preserve">school </w:t>
      </w:r>
      <w:r w:rsidR="007614E9" w:rsidRPr="0025700B">
        <w:t>year</w:t>
      </w:r>
      <w:r w:rsidR="007614E9">
        <w:t>s</w:t>
      </w:r>
      <w:r w:rsidRPr="0025700B">
        <w:t>, and 2) policies, procedures, and/or practices were found to contribute to the significant discrepancy and do not comply with requirements relating to the development and implementation of IEPs, the use of positive behavioral interventions and supports, and procedural safeguards.</w:t>
      </w:r>
    </w:p>
    <w:p w14:paraId="219C8CA1" w14:textId="0EE21911" w:rsidR="00792F14" w:rsidRDefault="00792F14" w:rsidP="00463CD5">
      <w:pPr>
        <w:pStyle w:val="ListParagraph"/>
        <w:numPr>
          <w:ilvl w:val="1"/>
          <w:numId w:val="4"/>
        </w:numPr>
        <w:spacing w:after="0" w:line="240" w:lineRule="auto"/>
      </w:pPr>
      <w:r w:rsidRPr="0025700B">
        <w:t xml:space="preserve">1) </w:t>
      </w:r>
      <w:r w:rsidR="004346CA">
        <w:t xml:space="preserve">At least one racial category was found with disproportionate representation in identification of students as students with disabilities in Indicator 9 </w:t>
      </w:r>
      <w:r w:rsidRPr="0025700B">
        <w:t>for the current and the previous year, and 2) the disproportionate representation was found to be the result of inappropriate identification.</w:t>
      </w:r>
    </w:p>
    <w:p w14:paraId="5E93D89F" w14:textId="6F7B9272" w:rsidR="004346CA" w:rsidRPr="0025700B" w:rsidRDefault="004346CA" w:rsidP="004346CA">
      <w:pPr>
        <w:pStyle w:val="ListParagraph"/>
        <w:numPr>
          <w:ilvl w:val="1"/>
          <w:numId w:val="4"/>
        </w:numPr>
        <w:spacing w:after="0" w:line="240" w:lineRule="auto"/>
      </w:pPr>
      <w:r w:rsidRPr="0025700B">
        <w:t xml:space="preserve">1) </w:t>
      </w:r>
      <w:r>
        <w:t xml:space="preserve">At least one racial category was found with disproportionate representation in identification of specific disability category in Indicator 10 </w:t>
      </w:r>
      <w:r w:rsidRPr="0025700B">
        <w:t>for the current and the previous year, and 2) the disproportionate representation was found to be the result of inappropriate identification.</w:t>
      </w:r>
    </w:p>
    <w:p w14:paraId="0DCBD090" w14:textId="77777777" w:rsidR="00792F14" w:rsidRDefault="00EB72B6" w:rsidP="00EB72B6">
      <w:pPr>
        <w:pStyle w:val="Heading2"/>
        <w:tabs>
          <w:tab w:val="left" w:pos="6915"/>
        </w:tabs>
      </w:pPr>
      <w:r>
        <w:tab/>
      </w:r>
    </w:p>
    <w:p w14:paraId="5F0CD025" w14:textId="77777777" w:rsidR="00792F14" w:rsidRDefault="00792F14" w:rsidP="00463CD5">
      <w:pPr>
        <w:pStyle w:val="Heading2"/>
      </w:pPr>
      <w:r>
        <w:t>Scoring of the Matrix for Timely and Accurate Data Submission</w:t>
      </w:r>
    </w:p>
    <w:p w14:paraId="0999FF40" w14:textId="77777777" w:rsidR="00792F14" w:rsidRDefault="00792F14" w:rsidP="00463CD5">
      <w:pPr>
        <w:spacing w:after="0" w:line="240" w:lineRule="auto"/>
      </w:pPr>
      <w:r>
        <w:t xml:space="preserve">The following three Special Education Data Pipeline collections were evaluated for their timeliness and accuracy: Special Education December Count, Special Education End of Year Collection, and Special Education Discipline Collection. Indicator 13 – review of transition IEPs – was also evaluated for timeliness. The Data Pipeline collections were considered timely when the AU submitted the data electronically via the Data Pipeline to the CDE </w:t>
      </w:r>
      <w:r w:rsidRPr="00FC10EF">
        <w:rPr>
          <w:u w:val="single"/>
        </w:rPr>
        <w:t>and</w:t>
      </w:r>
      <w:r>
        <w:t xml:space="preserve"> submitted necessary data reports with the special education directors’ signature by the closing date of the given data collection. The data collections were considered accurate if they were not reopened due to inaccuracy after the closing date. Indicator 13 was considered timely when the sampled students’ IEPs were reviewed, and the data were submitted electronically via the Data Management System to the CDE by the due date. An AU received points as follows for Timely and Accurate Data Submission:</w:t>
      </w:r>
    </w:p>
    <w:p w14:paraId="73E1EBA0" w14:textId="77777777" w:rsidR="00792F14" w:rsidRDefault="00792F14" w:rsidP="00463CD5">
      <w:pPr>
        <w:numPr>
          <w:ilvl w:val="0"/>
          <w:numId w:val="5"/>
        </w:numPr>
        <w:spacing w:after="0" w:line="240" w:lineRule="auto"/>
        <w:ind w:hanging="360"/>
        <w:contextualSpacing/>
      </w:pPr>
      <w:r>
        <w:t>2 points if the following data submissions were timely and accurate: Special Education December Count, Special Education End of Year Collection, and Special Education Discipline Collection. Also if the Indicator 13 (Transition IEP) review was submitted on time.</w:t>
      </w:r>
    </w:p>
    <w:p w14:paraId="3D194DDD" w14:textId="77777777" w:rsidR="00792F14" w:rsidRDefault="00792F14" w:rsidP="00463CD5">
      <w:pPr>
        <w:numPr>
          <w:ilvl w:val="0"/>
          <w:numId w:val="5"/>
        </w:numPr>
        <w:spacing w:after="0" w:line="240" w:lineRule="auto"/>
        <w:ind w:hanging="360"/>
        <w:contextualSpacing/>
      </w:pPr>
      <w:r>
        <w:lastRenderedPageBreak/>
        <w:t>1 point if one or two of the following data submissions were late and/or inaccurate: Special Education December Count, Special Education End of Year Collection, Special Education Discipline Collection, and Indicator 13 (Transition IEP) review.</w:t>
      </w:r>
    </w:p>
    <w:p w14:paraId="0ECCF121" w14:textId="77777777" w:rsidR="00792F14" w:rsidRDefault="00792F14" w:rsidP="00463CD5">
      <w:pPr>
        <w:numPr>
          <w:ilvl w:val="0"/>
          <w:numId w:val="5"/>
        </w:numPr>
        <w:spacing w:after="0" w:line="240" w:lineRule="auto"/>
        <w:ind w:hanging="360"/>
        <w:contextualSpacing/>
      </w:pPr>
      <w:r>
        <w:t>0 points if at least three of the following data submissions were late and/or inaccurate: Special Education December Count, Special Education End of Year Collection, Special Education Discipline Collection, and Indicator 13 (Transition IEP) review.</w:t>
      </w:r>
    </w:p>
    <w:p w14:paraId="674B2A4B" w14:textId="77777777" w:rsidR="00792F14" w:rsidRDefault="00792F14" w:rsidP="00463CD5">
      <w:pPr>
        <w:spacing w:after="0" w:line="240" w:lineRule="auto"/>
      </w:pPr>
    </w:p>
    <w:p w14:paraId="49A27F00" w14:textId="77777777" w:rsidR="00792F14" w:rsidRDefault="00792F14" w:rsidP="00463CD5">
      <w:pPr>
        <w:pStyle w:val="Heading2"/>
      </w:pPr>
      <w:r>
        <w:t>Compliance Determination</w:t>
      </w:r>
    </w:p>
    <w:p w14:paraId="79EEF139" w14:textId="77777777" w:rsidR="00792F14" w:rsidRDefault="00792F14" w:rsidP="00463CD5">
      <w:pPr>
        <w:spacing w:after="0" w:line="240" w:lineRule="auto"/>
      </w:pPr>
      <w:r>
        <w:t>A Compliance Determination was made based on the Compliance Score. The following rubric was applied to the AUs’ Compliance Score:</w:t>
      </w:r>
    </w:p>
    <w:p w14:paraId="5EA909D2" w14:textId="77777777" w:rsidR="00792F14" w:rsidRDefault="00792F14" w:rsidP="00463CD5">
      <w:pPr>
        <w:numPr>
          <w:ilvl w:val="0"/>
          <w:numId w:val="6"/>
        </w:numPr>
        <w:spacing w:after="0" w:line="240" w:lineRule="auto"/>
        <w:ind w:hanging="360"/>
        <w:contextualSpacing/>
      </w:pPr>
      <w:r>
        <w:t xml:space="preserve">Meets Requirement:   Compliance Score </w:t>
      </w:r>
      <w:r w:rsidR="00CD401F">
        <w:t>≥</w:t>
      </w:r>
      <w:r>
        <w:t xml:space="preserve"> 90 points</w:t>
      </w:r>
    </w:p>
    <w:p w14:paraId="15EAAFB5" w14:textId="77777777" w:rsidR="00792F14" w:rsidRDefault="00792F14" w:rsidP="00463CD5">
      <w:pPr>
        <w:numPr>
          <w:ilvl w:val="0"/>
          <w:numId w:val="6"/>
        </w:numPr>
        <w:spacing w:after="0" w:line="240" w:lineRule="auto"/>
        <w:ind w:hanging="360"/>
        <w:contextualSpacing/>
      </w:pPr>
      <w:r>
        <w:t xml:space="preserve">Needs Assistance:   90 points &gt; Compliance Score </w:t>
      </w:r>
      <w:r w:rsidR="00CD401F">
        <w:t>≥</w:t>
      </w:r>
      <w:r>
        <w:t xml:space="preserve"> 80 points</w:t>
      </w:r>
    </w:p>
    <w:p w14:paraId="6CB6EA9A" w14:textId="5AE10AD5" w:rsidR="004346CA" w:rsidRDefault="00792F14" w:rsidP="005109AB">
      <w:pPr>
        <w:numPr>
          <w:ilvl w:val="0"/>
          <w:numId w:val="6"/>
        </w:numPr>
        <w:spacing w:after="0" w:line="240" w:lineRule="auto"/>
        <w:ind w:hanging="360"/>
        <w:contextualSpacing/>
      </w:pPr>
      <w:r>
        <w:t>Needs Intervention:   Compliance Score &lt; 80 points</w:t>
      </w:r>
    </w:p>
    <w:p w14:paraId="6D92CF46" w14:textId="77777777" w:rsidR="005109AB" w:rsidRDefault="005109AB">
      <w:pPr>
        <w:rPr>
          <w:rFonts w:asciiTheme="majorHAnsi" w:eastAsiaTheme="majorEastAsia" w:hAnsiTheme="majorHAnsi" w:cstheme="majorBidi"/>
          <w:color w:val="2E74B5" w:themeColor="accent1" w:themeShade="BF"/>
          <w:sz w:val="32"/>
          <w:szCs w:val="32"/>
        </w:rPr>
      </w:pPr>
      <w:r>
        <w:br w:type="page"/>
      </w:r>
    </w:p>
    <w:p w14:paraId="6D6F3EEB" w14:textId="3D07C163" w:rsidR="00ED2096" w:rsidRDefault="0080047D" w:rsidP="00463CD5">
      <w:pPr>
        <w:pStyle w:val="Heading1"/>
        <w:spacing w:before="0" w:line="240" w:lineRule="auto"/>
      </w:pPr>
      <w:r>
        <w:lastRenderedPageBreak/>
        <w:t>The 2018</w:t>
      </w:r>
      <w:r w:rsidR="00ED2096">
        <w:t xml:space="preserve"> PART B RESULTS MATRIX</w:t>
      </w:r>
    </w:p>
    <w:p w14:paraId="5FCDB9C0" w14:textId="77777777" w:rsidR="00ED2096" w:rsidRDefault="00ED2096" w:rsidP="00463CD5">
      <w:pPr>
        <w:spacing w:after="0" w:line="240" w:lineRule="auto"/>
        <w:ind w:right="416"/>
      </w:pPr>
    </w:p>
    <w:p w14:paraId="725BE8AB" w14:textId="77777777" w:rsidR="00ED2096" w:rsidRDefault="00ED2096" w:rsidP="00463CD5">
      <w:pPr>
        <w:spacing w:after="0" w:line="240" w:lineRule="auto"/>
        <w:ind w:right="416"/>
      </w:pPr>
      <w:r>
        <w:t>In making each AU’s 201</w:t>
      </w:r>
      <w:r w:rsidR="0080047D">
        <w:t>8</w:t>
      </w:r>
      <w:r>
        <w:t xml:space="preserve"> determination, the CDE ESSU used the Results Matrix reflectin</w:t>
      </w:r>
      <w:r w:rsidR="0080047D">
        <w:t>g the following data from SY2016-17</w:t>
      </w:r>
      <w:r>
        <w:t>:</w:t>
      </w:r>
    </w:p>
    <w:p w14:paraId="4AF9D3DE" w14:textId="77777777" w:rsidR="00ED2096" w:rsidRDefault="00ED2096" w:rsidP="00463CD5">
      <w:pPr>
        <w:numPr>
          <w:ilvl w:val="0"/>
          <w:numId w:val="7"/>
        </w:numPr>
        <w:spacing w:after="0" w:line="240" w:lineRule="auto"/>
        <w:ind w:right="416" w:hanging="360"/>
        <w:contextualSpacing/>
      </w:pPr>
      <w:r>
        <w:t>State Assessments</w:t>
      </w:r>
    </w:p>
    <w:p w14:paraId="6D41CD47" w14:textId="77777777" w:rsidR="00ED2096" w:rsidRDefault="00ED2096" w:rsidP="00463CD5">
      <w:pPr>
        <w:numPr>
          <w:ilvl w:val="1"/>
          <w:numId w:val="7"/>
        </w:numPr>
        <w:spacing w:after="0" w:line="240" w:lineRule="auto"/>
        <w:ind w:right="416" w:hanging="360"/>
        <w:contextualSpacing/>
      </w:pPr>
      <w:r>
        <w:t>Colorado IEP Accountability Participation Rates in English Language Arts (ELA) and Math</w:t>
      </w:r>
    </w:p>
    <w:p w14:paraId="106D10A3" w14:textId="77777777" w:rsidR="00ED2096" w:rsidRDefault="00ED2096" w:rsidP="00463CD5">
      <w:pPr>
        <w:numPr>
          <w:ilvl w:val="1"/>
          <w:numId w:val="7"/>
        </w:numPr>
        <w:spacing w:after="0" w:line="240" w:lineRule="auto"/>
        <w:ind w:right="416" w:hanging="360"/>
        <w:contextualSpacing/>
      </w:pPr>
      <w:r>
        <w:t>OSEP</w:t>
      </w:r>
      <w:r w:rsidR="00A343E1">
        <w:t xml:space="preserve"> Accountability Participation</w:t>
      </w:r>
      <w:r>
        <w:t xml:space="preserve"> Rates in ELA and Math (Indicator 3B)</w:t>
      </w:r>
    </w:p>
    <w:p w14:paraId="4323E9CC" w14:textId="77777777" w:rsidR="00ED2096" w:rsidRDefault="00ED2096" w:rsidP="00463CD5">
      <w:pPr>
        <w:numPr>
          <w:ilvl w:val="1"/>
          <w:numId w:val="7"/>
        </w:numPr>
        <w:spacing w:after="0" w:line="240" w:lineRule="auto"/>
        <w:ind w:right="416" w:hanging="360"/>
        <w:contextualSpacing/>
      </w:pPr>
      <w:r>
        <w:t>Regular Assessment Mean Scale Scores in ELA and Math (Part of Indicator 3C)</w:t>
      </w:r>
    </w:p>
    <w:p w14:paraId="53CD13DF" w14:textId="77777777" w:rsidR="00ED2096" w:rsidRDefault="00ED2096" w:rsidP="00463CD5">
      <w:pPr>
        <w:numPr>
          <w:ilvl w:val="1"/>
          <w:numId w:val="7"/>
        </w:numPr>
        <w:spacing w:after="0" w:line="240" w:lineRule="auto"/>
        <w:ind w:right="416" w:hanging="360"/>
        <w:contextualSpacing/>
      </w:pPr>
      <w:r>
        <w:t>Alternate Assessment Proficiency Rates in ELA and Math (Part of Indicator 3C)</w:t>
      </w:r>
    </w:p>
    <w:p w14:paraId="7D8026E7" w14:textId="77777777" w:rsidR="00ED2096" w:rsidRDefault="00ED2096" w:rsidP="00463CD5">
      <w:pPr>
        <w:numPr>
          <w:ilvl w:val="0"/>
          <w:numId w:val="7"/>
        </w:numPr>
        <w:spacing w:after="0" w:line="240" w:lineRule="auto"/>
        <w:ind w:right="416" w:hanging="360"/>
        <w:contextualSpacing/>
      </w:pPr>
      <w:r>
        <w:t>Preschool Skill (Indicator 7)</w:t>
      </w:r>
    </w:p>
    <w:p w14:paraId="38616467" w14:textId="77777777" w:rsidR="00ED2096" w:rsidRDefault="00ED2096" w:rsidP="00463CD5">
      <w:pPr>
        <w:numPr>
          <w:ilvl w:val="1"/>
          <w:numId w:val="7"/>
        </w:numPr>
        <w:spacing w:after="0" w:line="240" w:lineRule="auto"/>
        <w:ind w:right="416" w:hanging="360"/>
        <w:contextualSpacing/>
      </w:pPr>
      <w:r>
        <w:t>Positive Social-Emotional Skills</w:t>
      </w:r>
    </w:p>
    <w:p w14:paraId="0B55A042" w14:textId="77777777" w:rsidR="00ED2096" w:rsidRDefault="00ED2096" w:rsidP="00463CD5">
      <w:pPr>
        <w:numPr>
          <w:ilvl w:val="2"/>
          <w:numId w:val="7"/>
        </w:numPr>
        <w:spacing w:after="0" w:line="240" w:lineRule="auto"/>
        <w:ind w:right="416" w:hanging="180"/>
        <w:contextualSpacing/>
      </w:pPr>
      <w:r>
        <w:t>Of the children who entered the program below age expectations, the percent who substantially increased their rate of growth by the time they exited the program (i.e., Growth).</w:t>
      </w:r>
    </w:p>
    <w:p w14:paraId="6EF1B979" w14:textId="77777777" w:rsidR="00ED2096" w:rsidRDefault="00ED2096" w:rsidP="00463CD5">
      <w:pPr>
        <w:numPr>
          <w:ilvl w:val="2"/>
          <w:numId w:val="7"/>
        </w:numPr>
        <w:spacing w:after="0" w:line="240" w:lineRule="auto"/>
        <w:ind w:right="416" w:hanging="180"/>
        <w:contextualSpacing/>
      </w:pPr>
      <w:r>
        <w:t>The percent of children who were functioning within age expectations by the time they exited the program (i.e., Achievement).</w:t>
      </w:r>
    </w:p>
    <w:p w14:paraId="4A654B52" w14:textId="77777777" w:rsidR="00ED2096" w:rsidRDefault="00ED2096" w:rsidP="00463CD5">
      <w:pPr>
        <w:numPr>
          <w:ilvl w:val="1"/>
          <w:numId w:val="7"/>
        </w:numPr>
        <w:spacing w:after="0" w:line="240" w:lineRule="auto"/>
        <w:ind w:right="416" w:hanging="360"/>
        <w:contextualSpacing/>
      </w:pPr>
      <w:r>
        <w:t>Acquisition and Use of Knowledge and Skills</w:t>
      </w:r>
    </w:p>
    <w:p w14:paraId="2B076614" w14:textId="77777777" w:rsidR="00ED2096" w:rsidRDefault="00ED2096" w:rsidP="00463CD5">
      <w:pPr>
        <w:numPr>
          <w:ilvl w:val="2"/>
          <w:numId w:val="7"/>
        </w:numPr>
        <w:spacing w:after="0" w:line="240" w:lineRule="auto"/>
        <w:ind w:right="416" w:hanging="180"/>
        <w:contextualSpacing/>
      </w:pPr>
      <w:r>
        <w:t>Of the children who entered the program below age expectations, the percent who substantially increased their rate of growth by the time they exited the program (i.e., Growth).</w:t>
      </w:r>
    </w:p>
    <w:p w14:paraId="55E3C636" w14:textId="77777777" w:rsidR="00ED2096" w:rsidRDefault="00ED2096" w:rsidP="00463CD5">
      <w:pPr>
        <w:numPr>
          <w:ilvl w:val="2"/>
          <w:numId w:val="7"/>
        </w:numPr>
        <w:spacing w:after="0" w:line="240" w:lineRule="auto"/>
        <w:ind w:right="416" w:hanging="180"/>
        <w:contextualSpacing/>
      </w:pPr>
      <w:r>
        <w:t>The percent of children who were functioning within age expectations by the time they exited the program (i.e., Achievement).</w:t>
      </w:r>
    </w:p>
    <w:p w14:paraId="1E37E142" w14:textId="77777777" w:rsidR="00ED2096" w:rsidRDefault="00ED2096" w:rsidP="00463CD5">
      <w:pPr>
        <w:numPr>
          <w:ilvl w:val="1"/>
          <w:numId w:val="7"/>
        </w:numPr>
        <w:spacing w:after="0" w:line="240" w:lineRule="auto"/>
        <w:ind w:right="416" w:hanging="360"/>
        <w:contextualSpacing/>
      </w:pPr>
      <w:r>
        <w:t>Use of Appropriate Behaviors to Meet their Needs</w:t>
      </w:r>
    </w:p>
    <w:p w14:paraId="60C95A12" w14:textId="77777777" w:rsidR="00ED2096" w:rsidRDefault="00ED2096" w:rsidP="00463CD5">
      <w:pPr>
        <w:numPr>
          <w:ilvl w:val="2"/>
          <w:numId w:val="7"/>
        </w:numPr>
        <w:spacing w:after="0" w:line="240" w:lineRule="auto"/>
        <w:ind w:right="416" w:hanging="180"/>
        <w:contextualSpacing/>
      </w:pPr>
      <w:r>
        <w:t>Of the children who entered the program below age expectations, the percent who substantially increased their rate of growth by the time they exited the program (i.e., Growth).</w:t>
      </w:r>
    </w:p>
    <w:p w14:paraId="27914E1D" w14:textId="77777777" w:rsidR="00ED2096" w:rsidRDefault="00ED2096" w:rsidP="00463CD5">
      <w:pPr>
        <w:numPr>
          <w:ilvl w:val="2"/>
          <w:numId w:val="7"/>
        </w:numPr>
        <w:spacing w:after="0" w:line="240" w:lineRule="auto"/>
        <w:ind w:right="416" w:hanging="180"/>
        <w:contextualSpacing/>
      </w:pPr>
      <w:r>
        <w:t>The percent of children who were functioning within age expectations by the time they exited the program (i.e., Achievement).</w:t>
      </w:r>
    </w:p>
    <w:p w14:paraId="0C6E85C1" w14:textId="77777777" w:rsidR="00ED2096" w:rsidRDefault="00ED2096" w:rsidP="00463CD5">
      <w:pPr>
        <w:numPr>
          <w:ilvl w:val="0"/>
          <w:numId w:val="7"/>
        </w:numPr>
        <w:spacing w:after="0" w:line="240" w:lineRule="auto"/>
        <w:ind w:right="416" w:hanging="360"/>
        <w:contextualSpacing/>
      </w:pPr>
      <w:r>
        <w:t>Median Growth Percentiles  in ELA and Math</w:t>
      </w:r>
    </w:p>
    <w:p w14:paraId="070E0114" w14:textId="77777777" w:rsidR="00ED2096" w:rsidRDefault="00ED2096" w:rsidP="00463CD5">
      <w:pPr>
        <w:numPr>
          <w:ilvl w:val="0"/>
          <w:numId w:val="7"/>
        </w:numPr>
        <w:spacing w:after="0" w:line="240" w:lineRule="auto"/>
        <w:ind w:right="416" w:hanging="360"/>
        <w:contextualSpacing/>
      </w:pPr>
      <w:r>
        <w:t>Rise Up i</w:t>
      </w:r>
      <w:r w:rsidR="0080047D">
        <w:t>n ELA and Math – No data in 2018</w:t>
      </w:r>
      <w:r>
        <w:t xml:space="preserve"> determination</w:t>
      </w:r>
    </w:p>
    <w:p w14:paraId="3F4C0613" w14:textId="77777777" w:rsidR="00ED2096" w:rsidRDefault="00ED2096" w:rsidP="00463CD5">
      <w:pPr>
        <w:numPr>
          <w:ilvl w:val="0"/>
          <w:numId w:val="7"/>
        </w:numPr>
        <w:spacing w:after="0" w:line="240" w:lineRule="auto"/>
        <w:ind w:right="416" w:hanging="360"/>
        <w:contextualSpacing/>
      </w:pPr>
      <w:r>
        <w:t>Keep Up in ELA and Math – No data in 201</w:t>
      </w:r>
      <w:r w:rsidR="0080047D">
        <w:t>8</w:t>
      </w:r>
      <w:r>
        <w:t xml:space="preserve"> determination</w:t>
      </w:r>
    </w:p>
    <w:p w14:paraId="6291EE60" w14:textId="77777777" w:rsidR="00ED2096" w:rsidRDefault="00A343E1" w:rsidP="00463CD5">
      <w:pPr>
        <w:numPr>
          <w:ilvl w:val="0"/>
          <w:numId w:val="7"/>
        </w:numPr>
        <w:spacing w:after="0" w:line="240" w:lineRule="auto"/>
        <w:ind w:right="416" w:hanging="360"/>
        <w:contextualSpacing/>
      </w:pPr>
      <w:r>
        <w:t>Graduation R</w:t>
      </w:r>
      <w:r w:rsidR="00ED2096">
        <w:t>ate (Part of indicator 1)</w:t>
      </w:r>
    </w:p>
    <w:p w14:paraId="1372D329" w14:textId="77777777" w:rsidR="00ED2096" w:rsidRDefault="00A343E1" w:rsidP="00463CD5">
      <w:pPr>
        <w:numPr>
          <w:ilvl w:val="0"/>
          <w:numId w:val="7"/>
        </w:numPr>
        <w:spacing w:after="0" w:line="240" w:lineRule="auto"/>
        <w:ind w:right="416" w:hanging="360"/>
        <w:contextualSpacing/>
      </w:pPr>
      <w:r>
        <w:t>Special Education Dropout Exiter Rate</w:t>
      </w:r>
      <w:r w:rsidR="00ED2096">
        <w:t xml:space="preserve"> (Indicator 2)</w:t>
      </w:r>
    </w:p>
    <w:p w14:paraId="371B9028" w14:textId="77777777" w:rsidR="00ED2096" w:rsidRDefault="00ED2096" w:rsidP="00463CD5">
      <w:pPr>
        <w:numPr>
          <w:ilvl w:val="0"/>
          <w:numId w:val="7"/>
        </w:numPr>
        <w:spacing w:after="0" w:line="240" w:lineRule="auto"/>
        <w:ind w:right="416" w:hanging="360"/>
        <w:contextualSpacing/>
      </w:pPr>
      <w:r>
        <w:t>Post-School Outcomes (Indicator 14)</w:t>
      </w:r>
    </w:p>
    <w:p w14:paraId="37761437" w14:textId="77777777" w:rsidR="00ED2096" w:rsidRDefault="00ED2096" w:rsidP="00463CD5">
      <w:pPr>
        <w:numPr>
          <w:ilvl w:val="1"/>
          <w:numId w:val="7"/>
        </w:numPr>
        <w:spacing w:after="0" w:line="240" w:lineRule="auto"/>
        <w:ind w:right="416" w:hanging="360"/>
        <w:contextualSpacing/>
      </w:pPr>
      <w:r>
        <w:t>The percent of former students selected in the post-school outcome interview sample whom AU attempted to reach.</w:t>
      </w:r>
    </w:p>
    <w:p w14:paraId="47F258F9" w14:textId="77777777" w:rsidR="00ED2096" w:rsidRDefault="00ED2096" w:rsidP="00463CD5">
      <w:pPr>
        <w:numPr>
          <w:ilvl w:val="1"/>
          <w:numId w:val="7"/>
        </w:numPr>
        <w:spacing w:after="0" w:line="240" w:lineRule="auto"/>
        <w:ind w:right="416" w:hanging="360"/>
        <w:contextualSpacing/>
      </w:pPr>
      <w:r>
        <w:t>The percent of former students who participated in the post-school outcome interview.</w:t>
      </w:r>
    </w:p>
    <w:p w14:paraId="374C1DE0" w14:textId="77777777" w:rsidR="00ED2096" w:rsidRDefault="00ED2096" w:rsidP="00463CD5">
      <w:pPr>
        <w:numPr>
          <w:ilvl w:val="1"/>
          <w:numId w:val="7"/>
        </w:numPr>
        <w:spacing w:after="0" w:line="240" w:lineRule="auto"/>
        <w:ind w:right="416" w:hanging="360"/>
        <w:contextualSpacing/>
      </w:pPr>
      <w:r>
        <w:t>Of the former students who participated in the post-school outcome interview, the percent of former students who are:</w:t>
      </w:r>
    </w:p>
    <w:p w14:paraId="7E22F6E8" w14:textId="77777777" w:rsidR="00ED2096" w:rsidRDefault="00ED2096" w:rsidP="00463CD5">
      <w:pPr>
        <w:numPr>
          <w:ilvl w:val="2"/>
          <w:numId w:val="7"/>
        </w:numPr>
        <w:spacing w:after="0" w:line="240" w:lineRule="auto"/>
        <w:ind w:right="416" w:hanging="180"/>
        <w:contextualSpacing/>
      </w:pPr>
      <w:r>
        <w:t>Enrolled in higher education, or</w:t>
      </w:r>
    </w:p>
    <w:p w14:paraId="1E672F00" w14:textId="77777777" w:rsidR="00ED2096" w:rsidRDefault="00ED2096" w:rsidP="00463CD5">
      <w:pPr>
        <w:numPr>
          <w:ilvl w:val="2"/>
          <w:numId w:val="7"/>
        </w:numPr>
        <w:spacing w:after="0" w:line="240" w:lineRule="auto"/>
        <w:ind w:right="416" w:hanging="180"/>
        <w:contextualSpacing/>
      </w:pPr>
      <w:r>
        <w:t>In some other post-secondary education or training programs, or</w:t>
      </w:r>
    </w:p>
    <w:p w14:paraId="7782CB45" w14:textId="77777777" w:rsidR="00ED2096" w:rsidRDefault="00ED2096" w:rsidP="00463CD5">
      <w:pPr>
        <w:numPr>
          <w:ilvl w:val="2"/>
          <w:numId w:val="7"/>
        </w:numPr>
        <w:spacing w:after="0" w:line="240" w:lineRule="auto"/>
        <w:ind w:right="416" w:hanging="180"/>
        <w:contextualSpacing/>
      </w:pPr>
      <w:r>
        <w:t>Competitively employed, or</w:t>
      </w:r>
    </w:p>
    <w:p w14:paraId="6FBCFFB6" w14:textId="77777777" w:rsidR="00ED2096" w:rsidRDefault="00ED2096" w:rsidP="00463CD5">
      <w:pPr>
        <w:numPr>
          <w:ilvl w:val="2"/>
          <w:numId w:val="7"/>
        </w:numPr>
        <w:spacing w:after="0" w:line="240" w:lineRule="auto"/>
        <w:ind w:right="416" w:hanging="180"/>
        <w:contextualSpacing/>
      </w:pPr>
      <w:r>
        <w:t>In some other employment</w:t>
      </w:r>
    </w:p>
    <w:p w14:paraId="40AAEDD1" w14:textId="77777777" w:rsidR="00ED2096" w:rsidRDefault="00ED2096" w:rsidP="00463CD5">
      <w:pPr>
        <w:spacing w:after="0"/>
      </w:pPr>
    </w:p>
    <w:p w14:paraId="787238C6" w14:textId="77777777" w:rsidR="00ED2096" w:rsidRDefault="00ED2096" w:rsidP="00463CD5">
      <w:pPr>
        <w:spacing w:after="0"/>
      </w:pPr>
      <w:r>
        <w:br w:type="page"/>
      </w:r>
    </w:p>
    <w:p w14:paraId="50F8F991" w14:textId="77777777" w:rsidR="00792F14" w:rsidRDefault="00ED2096" w:rsidP="00463CD5">
      <w:pPr>
        <w:pStyle w:val="Heading2"/>
      </w:pPr>
      <w:r>
        <w:lastRenderedPageBreak/>
        <w:t>Common Calculation Rules</w:t>
      </w:r>
    </w:p>
    <w:p w14:paraId="7A8B1068" w14:textId="77777777" w:rsidR="00E37794" w:rsidRDefault="00E37794" w:rsidP="003D4F2C">
      <w:pPr>
        <w:spacing w:after="0" w:line="240" w:lineRule="auto"/>
        <w:ind w:right="416"/>
      </w:pPr>
      <w:r>
        <w:t>Each results indicator</w:t>
      </w:r>
      <w:r w:rsidR="0080047D">
        <w:t>, except for Median Growth Percentiles,</w:t>
      </w:r>
      <w:r>
        <w:t xml:space="preserve"> was calculated when there was a data point that included 16 or more students.</w:t>
      </w:r>
      <w:r w:rsidR="00B070EF">
        <w:t xml:space="preserve"> For Median Growth Percentiles, the minimum number of students required for calculation was 20. </w:t>
      </w:r>
      <w:r>
        <w:t xml:space="preserve"> When the data point included </w:t>
      </w:r>
      <w:r w:rsidR="00B070EF">
        <w:t>fewer</w:t>
      </w:r>
      <w:r>
        <w:t xml:space="preserve"> than 16 students, Points Eligible and Points Earned for the respective indicator showed zero.</w:t>
      </w:r>
      <w:r w:rsidR="00F03748">
        <w:t xml:space="preserve"> </w:t>
      </w:r>
      <w:r>
        <w:t xml:space="preserve">Percentages </w:t>
      </w:r>
      <w:r w:rsidR="00A343E1">
        <w:t xml:space="preserve">in all results indicators </w:t>
      </w:r>
      <w:r>
        <w:t>were rounded to the first decimal point. The scoring rubric</w:t>
      </w:r>
      <w:r w:rsidR="00A343E1">
        <w:t>s</w:t>
      </w:r>
      <w:r>
        <w:t xml:space="preserve"> were determined b</w:t>
      </w:r>
      <w:r w:rsidR="00434393">
        <w:t>ased on the data from SY2015-16 for each indicator.</w:t>
      </w:r>
      <w:r>
        <w:rPr>
          <w:rStyle w:val="FootnoteReference"/>
        </w:rPr>
        <w:footnoteReference w:id="4"/>
      </w:r>
      <w:r>
        <w:t xml:space="preserve"> The score that corresponded to the 90</w:t>
      </w:r>
      <w:r>
        <w:rPr>
          <w:vertAlign w:val="superscript"/>
        </w:rPr>
        <w:t xml:space="preserve">th </w:t>
      </w:r>
      <w:r>
        <w:t>percentile in SY2015-16 was the threshold for 3 out of 3 of the possible eligible points. The score that corresponded to the 50</w:t>
      </w:r>
      <w:r>
        <w:rPr>
          <w:vertAlign w:val="superscript"/>
        </w:rPr>
        <w:t>th</w:t>
      </w:r>
      <w:r>
        <w:t xml:space="preserve"> percentile was the threshold for 2 out of 3 of the possible eligible points. The score that corresponded to the 15</w:t>
      </w:r>
      <w:r>
        <w:rPr>
          <w:vertAlign w:val="superscript"/>
        </w:rPr>
        <w:t>th</w:t>
      </w:r>
      <w:r>
        <w:t xml:space="preserve"> percentile was the threshold for 1 out of 3 of the possible eligible points. The score that corresponded to lower than the 15</w:t>
      </w:r>
      <w:r>
        <w:rPr>
          <w:vertAlign w:val="superscript"/>
        </w:rPr>
        <w:t>th</w:t>
      </w:r>
      <w:r>
        <w:t xml:space="preserve"> percentile received 0 points. These thresholds for 3/3, 2/3, 1/3, and 0/3 points </w:t>
      </w:r>
      <w:r w:rsidR="003D4F2C">
        <w:t xml:space="preserve">which were </w:t>
      </w:r>
      <w:r w:rsidR="00434393">
        <w:t xml:space="preserve">set </w:t>
      </w:r>
      <w:r w:rsidR="003D4F2C">
        <w:t>based on the</w:t>
      </w:r>
      <w:r>
        <w:t xml:space="preserve"> SY2015-16 </w:t>
      </w:r>
      <w:r w:rsidR="003D4F2C">
        <w:t>data</w:t>
      </w:r>
      <w:r w:rsidR="001F0C79">
        <w:t xml:space="preserve"> and used in the 2017 determination</w:t>
      </w:r>
      <w:r w:rsidR="003D4F2C">
        <w:t xml:space="preserve"> </w:t>
      </w:r>
      <w:r>
        <w:t>remain</w:t>
      </w:r>
      <w:r w:rsidR="00434393">
        <w:t>ed</w:t>
      </w:r>
      <w:r>
        <w:t xml:space="preserve"> the same </w:t>
      </w:r>
      <w:r w:rsidR="00434393">
        <w:t>for the current determination</w:t>
      </w:r>
      <w:r>
        <w:t xml:space="preserve">. </w:t>
      </w:r>
    </w:p>
    <w:p w14:paraId="440152BA" w14:textId="77777777" w:rsidR="00E37794" w:rsidRDefault="00E37794" w:rsidP="00463CD5">
      <w:pPr>
        <w:spacing w:after="0" w:line="240" w:lineRule="auto"/>
        <w:ind w:right="416"/>
      </w:pPr>
    </w:p>
    <w:p w14:paraId="01CF879C" w14:textId="685C36B2" w:rsidR="00E37794" w:rsidRDefault="00E37794" w:rsidP="00463CD5">
      <w:pPr>
        <w:spacing w:after="0" w:line="240" w:lineRule="auto"/>
        <w:ind w:right="416"/>
      </w:pPr>
      <w:r>
        <w:t>If an AU ha</w:t>
      </w:r>
      <w:r w:rsidR="006934EC">
        <w:t>d</w:t>
      </w:r>
      <w:r>
        <w:t xml:space="preserve"> fewer than 16 students in any of the results indicator</w:t>
      </w:r>
      <w:r w:rsidR="003D4F2C">
        <w:t>s</w:t>
      </w:r>
      <w:r>
        <w:t xml:space="preserve"> (e.g., </w:t>
      </w:r>
      <w:r w:rsidR="00434393">
        <w:t>ELA Mean Scale Score</w:t>
      </w:r>
      <w:r>
        <w:t>,</w:t>
      </w:r>
      <w:r w:rsidR="00434393">
        <w:t xml:space="preserve"> Graduation Rate</w:t>
      </w:r>
      <w:r>
        <w:t>), ESSU w</w:t>
      </w:r>
      <w:r w:rsidR="006934EC">
        <w:t>ould</w:t>
      </w:r>
      <w:r>
        <w:t xml:space="preserve"> accumulate the data for the impacted indicator for up to 3 consecutive years and calculate the rate based on the aggregated data, resulting in a larger N size. </w:t>
      </w:r>
      <w:r w:rsidR="00621AE3">
        <w:t>Thus, for the current determination, w</w:t>
      </w:r>
      <w:r w:rsidR="00434393">
        <w:t>hen an AU had fewer than 16 students in the previous or curren</w:t>
      </w:r>
      <w:r w:rsidR="001F0C79">
        <w:t>t</w:t>
      </w:r>
      <w:r w:rsidR="00434393">
        <w:t xml:space="preserve"> determination year for a given indicator, the previous year’s data and current year’s data were </w:t>
      </w:r>
      <w:r w:rsidR="00621AE3">
        <w:t>aggregated</w:t>
      </w:r>
      <w:r w:rsidR="00434393">
        <w:t xml:space="preserve"> (e.g., SY2015-16: N=10, SY2016-17: N=20, The number of students included in the current determination is 30).</w:t>
      </w:r>
      <w:r w:rsidR="00004B1F">
        <w:t xml:space="preserve"> When this happened, the note section under each indicator specified how the data were aggregated.</w:t>
      </w:r>
      <w:r w:rsidR="00434393">
        <w:t xml:space="preserve"> </w:t>
      </w:r>
      <w:r>
        <w:t xml:space="preserve">Until the AU accumulates enough students in the indicator, or if the AU does not reach n≥16 after 3 years, the indicator </w:t>
      </w:r>
      <w:r w:rsidR="006934EC">
        <w:t>would</w:t>
      </w:r>
      <w:r>
        <w:t xml:space="preserve"> be dropped from the calculation. For example, if an AU had 10 students in </w:t>
      </w:r>
      <w:r w:rsidR="00621AE3">
        <w:t>ELA Median Growth Percentile (MGP),</w:t>
      </w:r>
      <w:r>
        <w:t xml:space="preserve"> the </w:t>
      </w:r>
      <w:r w:rsidR="00621AE3">
        <w:t>ELA MGP</w:t>
      </w:r>
      <w:r>
        <w:t xml:space="preserve"> indicator w</w:t>
      </w:r>
      <w:r w:rsidR="006934EC">
        <w:t>ould</w:t>
      </w:r>
      <w:r>
        <w:t xml:space="preserve"> be dropped from the calculation, and the Total Points Eligible for the Academic Growth subjection </w:t>
      </w:r>
      <w:r w:rsidR="006934EC">
        <w:t>would</w:t>
      </w:r>
      <w:r>
        <w:t xml:space="preserve"> reflect 1</w:t>
      </w:r>
      <w:r w:rsidR="00621AE3">
        <w:t>35</w:t>
      </w:r>
      <w:r>
        <w:t xml:space="preserve"> instead of 150 due to the lack of 15 </w:t>
      </w:r>
      <w:r w:rsidR="00621AE3">
        <w:t>ELA MGP</w:t>
      </w:r>
      <w:r>
        <w:t xml:space="preserve"> points. The points earned based on the 120-point </w:t>
      </w:r>
      <w:r w:rsidR="001276A0">
        <w:t>maximum</w:t>
      </w:r>
      <w:r>
        <w:t xml:space="preserve"> is </w:t>
      </w:r>
      <w:r w:rsidR="006934EC">
        <w:t xml:space="preserve">then </w:t>
      </w:r>
      <w:r>
        <w:t xml:space="preserve">adjusted to </w:t>
      </w:r>
      <w:r w:rsidR="001276A0">
        <w:t xml:space="preserve">fit </w:t>
      </w:r>
      <w:r>
        <w:t>the 150-point scale at the bottom of the Results Matrix, in order to fit the matrix’s 300-point</w:t>
      </w:r>
      <w:r w:rsidR="001276A0">
        <w:t>s</w:t>
      </w:r>
      <w:r>
        <w:t xml:space="preserve"> </w:t>
      </w:r>
      <w:r w:rsidR="001276A0">
        <w:t xml:space="preserve">total </w:t>
      </w:r>
      <w:r>
        <w:t>scale.</w:t>
      </w:r>
    </w:p>
    <w:p w14:paraId="11921D94" w14:textId="77777777" w:rsidR="00C209E0" w:rsidRDefault="00C209E0" w:rsidP="00463CD5">
      <w:pPr>
        <w:pStyle w:val="Heading2"/>
        <w:spacing w:line="240" w:lineRule="auto"/>
      </w:pPr>
    </w:p>
    <w:p w14:paraId="2D856932" w14:textId="77777777" w:rsidR="00C209E0" w:rsidRDefault="00C209E0" w:rsidP="00463CD5">
      <w:pPr>
        <w:pStyle w:val="Heading2"/>
        <w:spacing w:line="240" w:lineRule="auto"/>
      </w:pPr>
      <w:r>
        <w:t>Academic Achievement</w:t>
      </w:r>
    </w:p>
    <w:p w14:paraId="72217702" w14:textId="77777777" w:rsidR="00C209E0" w:rsidRDefault="00C209E0" w:rsidP="00463CD5">
      <w:pPr>
        <w:spacing w:after="0"/>
      </w:pPr>
      <w:r>
        <w:t xml:space="preserve">The Academic Achievement section is worth 15% of the Results Score (45 points out of 300 total points). </w:t>
      </w:r>
    </w:p>
    <w:p w14:paraId="08DF6B63" w14:textId="77777777" w:rsidR="00463CD5" w:rsidRDefault="00463CD5" w:rsidP="00463CD5">
      <w:pPr>
        <w:spacing w:after="0"/>
      </w:pPr>
    </w:p>
    <w:p w14:paraId="7E27588D" w14:textId="77777777" w:rsidR="00C209E0" w:rsidRDefault="00C209E0" w:rsidP="00463CD5">
      <w:pPr>
        <w:pStyle w:val="Heading4"/>
      </w:pPr>
      <w:r>
        <w:t>Participation</w:t>
      </w:r>
      <w:r w:rsidR="00D1348E">
        <w:t xml:space="preserve"> (Indicator 3b)</w:t>
      </w:r>
    </w:p>
    <w:p w14:paraId="467D2424" w14:textId="0311CFE3" w:rsidR="00F27A4D" w:rsidRDefault="00C209E0" w:rsidP="00463CD5">
      <w:pPr>
        <w:spacing w:before="40" w:after="0" w:line="240" w:lineRule="auto"/>
      </w:pPr>
      <w:r>
        <w:t xml:space="preserve">A student was considered a participant in the state assessment if the student was between </w:t>
      </w:r>
      <w:r w:rsidR="006934EC">
        <w:t>grades</w:t>
      </w:r>
      <w:r>
        <w:t xml:space="preserve"> 3 through 9 and had a valid test score in a regular or an alternate state assessment in the SY2</w:t>
      </w:r>
      <w:r w:rsidR="00201825">
        <w:t>015-16. The Results Matrix showed</w:t>
      </w:r>
      <w:r>
        <w:t xml:space="preserve"> two participation rates – the OSEP accountability participation rate and the Colorado IEP accountability participation rate. The OSEP accounta</w:t>
      </w:r>
      <w:r w:rsidR="00201825">
        <w:t>bility participation rate included students who participated in the s</w:t>
      </w:r>
      <w:r>
        <w:t>tate assessment</w:t>
      </w:r>
      <w:r w:rsidR="00201825">
        <w:t>s</w:t>
      </w:r>
      <w:r>
        <w:t xml:space="preserve"> and </w:t>
      </w:r>
      <w:r w:rsidR="00201825">
        <w:t>those</w:t>
      </w:r>
      <w:r>
        <w:t xml:space="preserve"> who did not participate for any reason</w:t>
      </w:r>
      <w:r w:rsidR="00201825">
        <w:t>s</w:t>
      </w:r>
      <w:r w:rsidR="001F1592">
        <w:t xml:space="preserve"> other than medical excusal</w:t>
      </w:r>
      <w:r w:rsidR="00201825">
        <w:t xml:space="preserve"> in its calculation</w:t>
      </w:r>
      <w:r>
        <w:t>. The Colorado IEP accountabi</w:t>
      </w:r>
      <w:r w:rsidR="00201825">
        <w:t>lity participation rate included</w:t>
      </w:r>
      <w:r>
        <w:t xml:space="preserve"> the same students as the OSEP accountability participa</w:t>
      </w:r>
      <w:r w:rsidR="00201825">
        <w:t>tion rates, however, it excluded</w:t>
      </w:r>
      <w:r>
        <w:t xml:space="preserve"> the following students from the denominator: students who had excuses deemed allowable by the </w:t>
      </w:r>
      <w:r w:rsidR="00C40872">
        <w:t>CDE</w:t>
      </w:r>
      <w:r>
        <w:t xml:space="preserve">, and students who did not participate due to parental refusal. </w:t>
      </w:r>
    </w:p>
    <w:p w14:paraId="49E049ED" w14:textId="679B2E52" w:rsidR="0045172C" w:rsidRDefault="0045172C" w:rsidP="00463CD5">
      <w:pPr>
        <w:spacing w:after="0" w:line="240" w:lineRule="auto"/>
      </w:pPr>
      <w:r>
        <w:lastRenderedPageBreak/>
        <w:t>When an AU’s Colorado IEP acco</w:t>
      </w:r>
      <w:r w:rsidR="001F1592">
        <w:t>untability participation rate was</w:t>
      </w:r>
      <w:r>
        <w:t xml:space="preserve"> 95% or more, the AU received 3 points. Otherwise, the AU received 0 points. The participation rate for ELA and Math were calculated separately.</w:t>
      </w:r>
    </w:p>
    <w:p w14:paraId="3C80E290" w14:textId="7729C7D4" w:rsidR="0045172C" w:rsidRDefault="0045172C" w:rsidP="00463CD5">
      <w:pPr>
        <w:spacing w:before="40" w:after="0" w:line="240" w:lineRule="auto"/>
      </w:pPr>
    </w:p>
    <w:p w14:paraId="37808382" w14:textId="77777777" w:rsidR="00C209E0" w:rsidRPr="00F27A4D" w:rsidRDefault="00F27A4D" w:rsidP="00463CD5">
      <w:pPr>
        <w:spacing w:before="40" w:after="0" w:line="240" w:lineRule="auto"/>
        <w:rPr>
          <w:rFonts w:asciiTheme="majorHAnsi" w:hAnsiTheme="majorHAnsi"/>
        </w:rPr>
      </w:pPr>
      <m:oMathPara>
        <m:oMath>
          <m:r>
            <w:rPr>
              <w:rFonts w:ascii="Cambria Math" w:hAnsi="Cambria Math" w:cs="Cambria Math"/>
            </w:rPr>
            <m:t>OSEP Particiation Rate</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Participated</m:t>
              </m:r>
            </m:num>
            <m:den>
              <m:r>
                <m:rPr>
                  <m:sty m:val="p"/>
                </m:rPr>
                <w:rPr>
                  <w:rFonts w:ascii="Cambria Math" w:hAnsi="Cambria Math" w:cs="Cambria Math"/>
                </w:rPr>
                <m:t>SUM(Particiapted,   Excused,   Parent Optout,   Unexcused)</m:t>
              </m:r>
            </m:den>
          </m:f>
        </m:oMath>
      </m:oMathPara>
    </w:p>
    <w:p w14:paraId="5841D9DB" w14:textId="77777777" w:rsidR="00F27A4D" w:rsidRPr="00F27A4D" w:rsidRDefault="00F27A4D" w:rsidP="00463CD5">
      <w:pPr>
        <w:spacing w:before="40" w:after="0" w:line="240" w:lineRule="auto"/>
        <w:rPr>
          <w:rFonts w:asciiTheme="majorHAnsi" w:hAnsiTheme="majorHAnsi"/>
        </w:rPr>
      </w:pPr>
    </w:p>
    <w:p w14:paraId="714F9945" w14:textId="77777777" w:rsidR="00ED2096" w:rsidRPr="00EF29CC" w:rsidRDefault="00F27A4D" w:rsidP="00463CD5">
      <w:pPr>
        <w:spacing w:after="0"/>
      </w:pPr>
      <m:oMathPara>
        <m:oMath>
          <m:r>
            <w:rPr>
              <w:rFonts w:ascii="Cambria Math" w:hAnsi="Cambria Math" w:cs="Cambria Math"/>
            </w:rPr>
            <m:t>CO IEP Particiation Rate</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Participated</m:t>
              </m:r>
            </m:num>
            <m:den>
              <m:r>
                <m:rPr>
                  <m:sty m:val="p"/>
                </m:rPr>
                <w:rPr>
                  <w:rFonts w:ascii="Cambria Math" w:hAnsi="Cambria Math" w:cs="Cambria Math"/>
                </w:rPr>
                <m:t>SUM(Particiapted,   Unexcused)</m:t>
              </m:r>
            </m:den>
          </m:f>
        </m:oMath>
      </m:oMathPara>
    </w:p>
    <w:p w14:paraId="15B7EFCB" w14:textId="77777777" w:rsidR="00EF29CC" w:rsidRDefault="00EF29CC" w:rsidP="00463CD5">
      <w:pPr>
        <w:spacing w:before="40" w:after="0" w:line="240" w:lineRule="auto"/>
      </w:pPr>
    </w:p>
    <w:p w14:paraId="4C76FECF" w14:textId="77777777" w:rsidR="00463CD5" w:rsidRDefault="00463CD5" w:rsidP="00463CD5">
      <w:pPr>
        <w:pStyle w:val="Heading2"/>
        <w:rPr>
          <w:rStyle w:val="IntenseEmphasis"/>
          <w:sz w:val="22"/>
          <w:szCs w:val="22"/>
        </w:rPr>
      </w:pPr>
    </w:p>
    <w:p w14:paraId="0C1A30A8" w14:textId="77777777" w:rsidR="0045172C" w:rsidRPr="0045172C" w:rsidRDefault="0045172C" w:rsidP="00463CD5">
      <w:pPr>
        <w:pStyle w:val="Heading2"/>
        <w:rPr>
          <w:rStyle w:val="IntenseEmphasis"/>
          <w:sz w:val="22"/>
          <w:szCs w:val="22"/>
        </w:rPr>
      </w:pPr>
      <w:r w:rsidRPr="0045172C">
        <w:rPr>
          <w:rStyle w:val="IntenseEmphasis"/>
          <w:sz w:val="22"/>
          <w:szCs w:val="22"/>
        </w:rPr>
        <w:t>Regular Assessment Mean Scale Score (</w:t>
      </w:r>
      <w:r w:rsidR="00D1348E">
        <w:rPr>
          <w:rStyle w:val="IntenseEmphasis"/>
          <w:sz w:val="22"/>
          <w:szCs w:val="22"/>
        </w:rPr>
        <w:t>Part of Indicator 3c)</w:t>
      </w:r>
    </w:p>
    <w:p w14:paraId="63C94E42" w14:textId="09B7C56D" w:rsidR="00FC4808" w:rsidRDefault="00FC4808" w:rsidP="00463CD5">
      <w:pPr>
        <w:spacing w:before="40" w:after="0" w:line="240" w:lineRule="auto"/>
      </w:pPr>
      <w:r>
        <w:t xml:space="preserve">Students with disabilities who </w:t>
      </w:r>
      <w:r w:rsidR="001F1592">
        <w:t>received</w:t>
      </w:r>
      <w:r>
        <w:t xml:space="preserve"> a valid test score from the regular state assessment were included in the calculation of </w:t>
      </w:r>
      <w:r w:rsidR="00D1348E">
        <w:t>mean scale score (</w:t>
      </w:r>
      <w:r>
        <w:t>MSS</w:t>
      </w:r>
      <w:r w:rsidR="00D1348E">
        <w:t>)</w:t>
      </w:r>
      <w:r>
        <w:t>. Students’ scale scores were averaged at the AU-level, ranked across the state to indicate AU’s percentile.</w:t>
      </w:r>
      <w:r w:rsidR="001408C7">
        <w:t xml:space="preserve"> AU’s ELA percentiles of 55, for example, means that the AU’s ELA MSS was above 55% of all AUs</w:t>
      </w:r>
      <w:r w:rsidR="00C72CC3">
        <w:t xml:space="preserve"> </w:t>
      </w:r>
      <w:r w:rsidR="001408C7">
        <w:t>(</w:t>
      </w:r>
      <w:r w:rsidR="00C72CC3">
        <w:t>61 AUs</w:t>
      </w:r>
      <w:r w:rsidR="001408C7">
        <w:t>) in the state.</w:t>
      </w:r>
      <w:r>
        <w:t xml:space="preserve"> The AU in whic</w:t>
      </w:r>
      <w:bookmarkStart w:id="0" w:name="_GoBack"/>
      <w:bookmarkEnd w:id="0"/>
      <w:r>
        <w:t>h the student participated in the regular state assessment in the SY201</w:t>
      </w:r>
      <w:r w:rsidR="005307BB">
        <w:t>6-17</w:t>
      </w:r>
      <w:r>
        <w:t xml:space="preserve"> were accountable for the student’s scale score. The regular assessment mean scale score was assigned a possible eligible points of 9</w:t>
      </w:r>
      <w:r w:rsidR="00C13FB1">
        <w:t xml:space="preserve"> for ELA and Math respectively</w:t>
      </w:r>
      <w:r>
        <w:t xml:space="preserve">. Based on the scoring method discussed </w:t>
      </w:r>
      <w:r w:rsidR="001F1592">
        <w:t>under “Common Calculation Rules” above</w:t>
      </w:r>
      <w:r>
        <w:t xml:space="preserve">, the following </w:t>
      </w:r>
      <w:r w:rsidR="001F1592">
        <w:t xml:space="preserve">rubric developed based on the SY2015-16 data </w:t>
      </w:r>
      <w:r>
        <w:t>was applied:</w:t>
      </w:r>
    </w:p>
    <w:tbl>
      <w:tblPr>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2136"/>
        <w:gridCol w:w="2136"/>
        <w:gridCol w:w="2136"/>
        <w:gridCol w:w="2137"/>
      </w:tblGrid>
      <w:tr w:rsidR="00FC4808" w14:paraId="578DD416" w14:textId="77777777" w:rsidTr="00FC4808">
        <w:trPr>
          <w:trHeight w:val="20"/>
        </w:trPr>
        <w:tc>
          <w:tcPr>
            <w:tcW w:w="805" w:type="dxa"/>
          </w:tcPr>
          <w:p w14:paraId="3CCC20C7" w14:textId="77777777" w:rsidR="00FC4808" w:rsidRDefault="00FC4808" w:rsidP="00463CD5">
            <w:pPr>
              <w:spacing w:after="0"/>
            </w:pPr>
          </w:p>
        </w:tc>
        <w:tc>
          <w:tcPr>
            <w:tcW w:w="2136" w:type="dxa"/>
          </w:tcPr>
          <w:p w14:paraId="7E125439" w14:textId="77777777" w:rsidR="00FC4808" w:rsidRDefault="00FC4808" w:rsidP="00463CD5">
            <w:pPr>
              <w:spacing w:after="0"/>
              <w:jc w:val="center"/>
            </w:pPr>
            <w:r>
              <w:t>9 points</w:t>
            </w:r>
          </w:p>
        </w:tc>
        <w:tc>
          <w:tcPr>
            <w:tcW w:w="2136" w:type="dxa"/>
          </w:tcPr>
          <w:p w14:paraId="2035F80F" w14:textId="77777777" w:rsidR="00FC4808" w:rsidRDefault="00FC4808" w:rsidP="00463CD5">
            <w:pPr>
              <w:spacing w:after="0"/>
              <w:jc w:val="center"/>
            </w:pPr>
            <w:r>
              <w:t>6 points</w:t>
            </w:r>
          </w:p>
        </w:tc>
        <w:tc>
          <w:tcPr>
            <w:tcW w:w="2136" w:type="dxa"/>
          </w:tcPr>
          <w:p w14:paraId="517A19E9" w14:textId="77777777" w:rsidR="00FC4808" w:rsidRDefault="00FC4808" w:rsidP="00463CD5">
            <w:pPr>
              <w:spacing w:after="0"/>
              <w:jc w:val="center"/>
            </w:pPr>
            <w:r>
              <w:t>3 points</w:t>
            </w:r>
          </w:p>
        </w:tc>
        <w:tc>
          <w:tcPr>
            <w:tcW w:w="2137" w:type="dxa"/>
          </w:tcPr>
          <w:p w14:paraId="5440DDE7" w14:textId="77777777" w:rsidR="00FC4808" w:rsidRDefault="00FC4808" w:rsidP="00463CD5">
            <w:pPr>
              <w:spacing w:after="0"/>
              <w:jc w:val="center"/>
            </w:pPr>
            <w:r>
              <w:t>0 points</w:t>
            </w:r>
          </w:p>
        </w:tc>
      </w:tr>
      <w:tr w:rsidR="00FC4808" w14:paraId="1E8EDD49" w14:textId="77777777" w:rsidTr="00FC4808">
        <w:trPr>
          <w:trHeight w:val="278"/>
        </w:trPr>
        <w:tc>
          <w:tcPr>
            <w:tcW w:w="805" w:type="dxa"/>
          </w:tcPr>
          <w:p w14:paraId="770E42C7" w14:textId="77777777" w:rsidR="00FC4808" w:rsidRDefault="00FC4808" w:rsidP="00463CD5">
            <w:pPr>
              <w:spacing w:after="0"/>
            </w:pPr>
            <w:r>
              <w:t>ELA</w:t>
            </w:r>
          </w:p>
        </w:tc>
        <w:tc>
          <w:tcPr>
            <w:tcW w:w="2136" w:type="dxa"/>
          </w:tcPr>
          <w:p w14:paraId="7924D6FB" w14:textId="77777777" w:rsidR="00FC4808" w:rsidRDefault="00CD401F" w:rsidP="00463CD5">
            <w:pPr>
              <w:spacing w:after="0"/>
              <w:jc w:val="center"/>
            </w:pPr>
            <w:r>
              <w:rPr>
                <w:sz w:val="21"/>
                <w:szCs w:val="21"/>
              </w:rPr>
              <w:t>≥</w:t>
            </w:r>
            <w:r w:rsidR="00FC4808">
              <w:rPr>
                <w:sz w:val="21"/>
                <w:szCs w:val="21"/>
              </w:rPr>
              <w:t xml:space="preserve"> 712</w:t>
            </w:r>
          </w:p>
        </w:tc>
        <w:tc>
          <w:tcPr>
            <w:tcW w:w="2136" w:type="dxa"/>
          </w:tcPr>
          <w:p w14:paraId="155863C8" w14:textId="77777777" w:rsidR="00FC4808" w:rsidRDefault="00FC4808" w:rsidP="00463CD5">
            <w:pPr>
              <w:spacing w:after="0"/>
              <w:jc w:val="center"/>
            </w:pPr>
            <w:r>
              <w:rPr>
                <w:sz w:val="21"/>
                <w:szCs w:val="21"/>
              </w:rPr>
              <w:t xml:space="preserve">712 &gt; MSS </w:t>
            </w:r>
            <w:r w:rsidR="00CD401F">
              <w:rPr>
                <w:sz w:val="21"/>
                <w:szCs w:val="21"/>
              </w:rPr>
              <w:t>≥</w:t>
            </w:r>
            <w:r>
              <w:rPr>
                <w:sz w:val="21"/>
                <w:szCs w:val="21"/>
              </w:rPr>
              <w:t xml:space="preserve"> 701.9</w:t>
            </w:r>
          </w:p>
        </w:tc>
        <w:tc>
          <w:tcPr>
            <w:tcW w:w="2136" w:type="dxa"/>
          </w:tcPr>
          <w:p w14:paraId="7AF8A839" w14:textId="77777777" w:rsidR="00FC4808" w:rsidRDefault="00FC4808" w:rsidP="00463CD5">
            <w:pPr>
              <w:spacing w:after="0"/>
              <w:jc w:val="center"/>
            </w:pPr>
            <w:r>
              <w:rPr>
                <w:sz w:val="21"/>
                <w:szCs w:val="21"/>
              </w:rPr>
              <w:t xml:space="preserve">701.9 &gt; MSS </w:t>
            </w:r>
            <w:r w:rsidR="00CD401F">
              <w:rPr>
                <w:sz w:val="21"/>
                <w:szCs w:val="21"/>
              </w:rPr>
              <w:t>≥</w:t>
            </w:r>
            <w:r>
              <w:rPr>
                <w:sz w:val="21"/>
                <w:szCs w:val="21"/>
              </w:rPr>
              <w:t xml:space="preserve"> 693.6</w:t>
            </w:r>
          </w:p>
        </w:tc>
        <w:tc>
          <w:tcPr>
            <w:tcW w:w="2137" w:type="dxa"/>
          </w:tcPr>
          <w:p w14:paraId="305A983B" w14:textId="77777777" w:rsidR="00FC4808" w:rsidRDefault="00FC4808" w:rsidP="00463CD5">
            <w:pPr>
              <w:spacing w:after="0"/>
              <w:jc w:val="center"/>
            </w:pPr>
            <w:r>
              <w:rPr>
                <w:sz w:val="21"/>
                <w:szCs w:val="21"/>
              </w:rPr>
              <w:t>693.6 &gt;</w:t>
            </w:r>
          </w:p>
        </w:tc>
      </w:tr>
      <w:tr w:rsidR="00FC4808" w14:paraId="51B6975E" w14:textId="77777777" w:rsidTr="00FC4808">
        <w:trPr>
          <w:trHeight w:val="20"/>
        </w:trPr>
        <w:tc>
          <w:tcPr>
            <w:tcW w:w="805" w:type="dxa"/>
          </w:tcPr>
          <w:p w14:paraId="69CC08CB" w14:textId="77777777" w:rsidR="00FC4808" w:rsidRDefault="00FC4808" w:rsidP="00463CD5">
            <w:pPr>
              <w:spacing w:after="0"/>
            </w:pPr>
            <w:r>
              <w:t>Math</w:t>
            </w:r>
          </w:p>
        </w:tc>
        <w:tc>
          <w:tcPr>
            <w:tcW w:w="2136" w:type="dxa"/>
          </w:tcPr>
          <w:p w14:paraId="537A3454" w14:textId="77777777" w:rsidR="00FC4808" w:rsidRDefault="00CD401F" w:rsidP="00463CD5">
            <w:pPr>
              <w:spacing w:after="0"/>
              <w:jc w:val="center"/>
            </w:pPr>
            <w:r>
              <w:rPr>
                <w:sz w:val="21"/>
                <w:szCs w:val="21"/>
              </w:rPr>
              <w:t>≥</w:t>
            </w:r>
            <w:r w:rsidR="00FC4808">
              <w:rPr>
                <w:sz w:val="21"/>
                <w:szCs w:val="21"/>
              </w:rPr>
              <w:t xml:space="preserve"> 711.8</w:t>
            </w:r>
          </w:p>
        </w:tc>
        <w:tc>
          <w:tcPr>
            <w:tcW w:w="2136" w:type="dxa"/>
          </w:tcPr>
          <w:p w14:paraId="12365987" w14:textId="77777777" w:rsidR="00FC4808" w:rsidRDefault="00FC4808" w:rsidP="00463CD5">
            <w:pPr>
              <w:spacing w:after="0"/>
              <w:jc w:val="center"/>
            </w:pPr>
            <w:r>
              <w:rPr>
                <w:sz w:val="21"/>
                <w:szCs w:val="21"/>
              </w:rPr>
              <w:t xml:space="preserve">711.8 &gt; MSS </w:t>
            </w:r>
            <w:r w:rsidR="00CD401F">
              <w:rPr>
                <w:sz w:val="21"/>
                <w:szCs w:val="21"/>
              </w:rPr>
              <w:t>≥</w:t>
            </w:r>
            <w:r>
              <w:rPr>
                <w:sz w:val="21"/>
                <w:szCs w:val="21"/>
              </w:rPr>
              <w:t xml:space="preserve"> 701.1</w:t>
            </w:r>
          </w:p>
        </w:tc>
        <w:tc>
          <w:tcPr>
            <w:tcW w:w="2136" w:type="dxa"/>
          </w:tcPr>
          <w:p w14:paraId="4A154FCF" w14:textId="77777777" w:rsidR="00FC4808" w:rsidRDefault="00FC4808" w:rsidP="00463CD5">
            <w:pPr>
              <w:spacing w:after="0"/>
              <w:jc w:val="center"/>
            </w:pPr>
            <w:r>
              <w:rPr>
                <w:sz w:val="21"/>
                <w:szCs w:val="21"/>
              </w:rPr>
              <w:t xml:space="preserve">701.1 &gt; MSS </w:t>
            </w:r>
            <w:r w:rsidR="00CD401F">
              <w:rPr>
                <w:sz w:val="21"/>
                <w:szCs w:val="21"/>
              </w:rPr>
              <w:t>≥</w:t>
            </w:r>
            <w:r>
              <w:rPr>
                <w:sz w:val="21"/>
                <w:szCs w:val="21"/>
              </w:rPr>
              <w:t xml:space="preserve"> 694.2</w:t>
            </w:r>
          </w:p>
        </w:tc>
        <w:tc>
          <w:tcPr>
            <w:tcW w:w="2137" w:type="dxa"/>
          </w:tcPr>
          <w:p w14:paraId="2EA381C8" w14:textId="77777777" w:rsidR="00FC4808" w:rsidRDefault="00FC4808" w:rsidP="00463CD5">
            <w:pPr>
              <w:spacing w:after="0"/>
              <w:jc w:val="center"/>
            </w:pPr>
            <w:r>
              <w:rPr>
                <w:sz w:val="21"/>
                <w:szCs w:val="21"/>
              </w:rPr>
              <w:t>694.2 &gt;</w:t>
            </w:r>
          </w:p>
        </w:tc>
      </w:tr>
    </w:tbl>
    <w:p w14:paraId="64D9D673" w14:textId="63C5FD83" w:rsidR="00FC4808" w:rsidRDefault="00C903D3" w:rsidP="00463CD5">
      <w:pPr>
        <w:spacing w:before="40" w:after="0" w:line="240" w:lineRule="auto"/>
      </w:pPr>
      <w:r>
        <w:t>In the current determination, in addition to the MSS of students with disabilities, the mean scale score for “IEP Exiter” and “Combined” were shown. “IEP Exiter” referred to the students who were reported as students</w:t>
      </w:r>
      <w:r w:rsidRPr="00C903D3">
        <w:rPr>
          <w:i/>
        </w:rPr>
        <w:t xml:space="preserve"> without</w:t>
      </w:r>
      <w:r>
        <w:t xml:space="preserve"> disabilities in the regular state assessment of SY2016-17 and were last reported as students with disabilities in December Count 2016, December Count 2015, or December Count 2014. They are considered as students who were formerly on IEPs, and their MSS were reported along with students currently on IEPs. “Combined” refers to students who were reported as students with disabilities in the regular state assessment of SY2016-17 and those were considered as “IEP Exiters.” The AU’s percentiles and the points were awarded based on the MSS of students currently on IEPs. However, the results matrix work group found the MSS of IEP Exiters and combined MSS to be informative, and recommended that such information to be available on the current determination.</w:t>
      </w:r>
    </w:p>
    <w:p w14:paraId="781200ED" w14:textId="77777777" w:rsidR="00C903D3" w:rsidRDefault="00C903D3" w:rsidP="00463CD5">
      <w:pPr>
        <w:spacing w:before="40" w:after="0" w:line="240" w:lineRule="auto"/>
      </w:pPr>
    </w:p>
    <w:p w14:paraId="1404E9CC" w14:textId="77777777" w:rsidR="00EF29CC" w:rsidRDefault="00C13FB1" w:rsidP="00463CD5">
      <w:pPr>
        <w:spacing w:after="0"/>
        <w:rPr>
          <w:rStyle w:val="IntenseEmphasis"/>
        </w:rPr>
      </w:pPr>
      <w:r>
        <w:rPr>
          <w:rStyle w:val="IntenseEmphasis"/>
        </w:rPr>
        <w:t>Alternate Assessment Proficiency Rate</w:t>
      </w:r>
      <w:r w:rsidR="00D1348E">
        <w:rPr>
          <w:rStyle w:val="IntenseEmphasis"/>
        </w:rPr>
        <w:t xml:space="preserve"> </w:t>
      </w:r>
      <w:r w:rsidR="00D1348E" w:rsidRPr="0045172C">
        <w:rPr>
          <w:rStyle w:val="IntenseEmphasis"/>
        </w:rPr>
        <w:t>(</w:t>
      </w:r>
      <w:r w:rsidR="00D1348E">
        <w:rPr>
          <w:rStyle w:val="IntenseEmphasis"/>
        </w:rPr>
        <w:t>Part of Indicator 3c)</w:t>
      </w:r>
    </w:p>
    <w:p w14:paraId="1B89FFCB" w14:textId="643C0968" w:rsidR="00C13FB1" w:rsidRDefault="00C13FB1" w:rsidP="00463CD5">
      <w:pPr>
        <w:spacing w:before="40" w:after="0" w:line="240" w:lineRule="auto"/>
      </w:pPr>
      <w:r>
        <w:t>Students with disabilities who had a valid test score from the alternate state assessment were included in the calculation of the Alternate Assessment Proficiency Rate. The number of students who achieved proficiency (“At Target” or “Advanced” on the alternate assessment) were divided by the total number of the alternate assessment takers. The proficiency rates were ranked across the state to indicate AU’s percentile. The AU in which the student participated in the alternat</w:t>
      </w:r>
      <w:r w:rsidR="005307BB">
        <w:t>e state assessment in the SY2016-17</w:t>
      </w:r>
      <w:r>
        <w:t xml:space="preserve"> were accountable for the student’s proficiency. The alternate assessment proficiency rate was assigned a possible eligible points of 6 for ELA and Math respectively. </w:t>
      </w:r>
      <w:r w:rsidR="005307BB">
        <w:t>Based on the scoring method discussed under “Common Calculation Rules” above, the following rubric developed based on the SY2015-16 data was applied:</w:t>
      </w:r>
    </w:p>
    <w:p w14:paraId="06696AE5" w14:textId="77777777" w:rsidR="005109AB" w:rsidRDefault="005109AB" w:rsidP="00463CD5">
      <w:pPr>
        <w:spacing w:before="40" w:after="0" w:line="240" w:lineRule="auto"/>
      </w:pPr>
    </w:p>
    <w:tbl>
      <w:tblPr>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2136"/>
        <w:gridCol w:w="2136"/>
        <w:gridCol w:w="2136"/>
        <w:gridCol w:w="2137"/>
      </w:tblGrid>
      <w:tr w:rsidR="00C13FB1" w14:paraId="62C33C9B" w14:textId="77777777" w:rsidTr="003E2E5C">
        <w:tc>
          <w:tcPr>
            <w:tcW w:w="805" w:type="dxa"/>
          </w:tcPr>
          <w:p w14:paraId="1826C991" w14:textId="77777777" w:rsidR="00C13FB1" w:rsidRDefault="00C13FB1" w:rsidP="00463CD5">
            <w:pPr>
              <w:spacing w:after="0"/>
            </w:pPr>
          </w:p>
        </w:tc>
        <w:tc>
          <w:tcPr>
            <w:tcW w:w="2136" w:type="dxa"/>
          </w:tcPr>
          <w:p w14:paraId="230F89B5" w14:textId="77777777" w:rsidR="00C13FB1" w:rsidRDefault="00C13FB1" w:rsidP="00463CD5">
            <w:pPr>
              <w:spacing w:after="0"/>
              <w:jc w:val="center"/>
            </w:pPr>
            <w:r>
              <w:t>6 points</w:t>
            </w:r>
          </w:p>
        </w:tc>
        <w:tc>
          <w:tcPr>
            <w:tcW w:w="2136" w:type="dxa"/>
          </w:tcPr>
          <w:p w14:paraId="2622A9EA" w14:textId="77777777" w:rsidR="00C13FB1" w:rsidRDefault="00C13FB1" w:rsidP="00463CD5">
            <w:pPr>
              <w:spacing w:after="0"/>
              <w:jc w:val="center"/>
            </w:pPr>
            <w:r>
              <w:t>4 points</w:t>
            </w:r>
          </w:p>
        </w:tc>
        <w:tc>
          <w:tcPr>
            <w:tcW w:w="2136" w:type="dxa"/>
          </w:tcPr>
          <w:p w14:paraId="1ADD4296" w14:textId="77777777" w:rsidR="00C13FB1" w:rsidRDefault="00C13FB1" w:rsidP="00463CD5">
            <w:pPr>
              <w:spacing w:after="0"/>
              <w:jc w:val="center"/>
            </w:pPr>
            <w:r>
              <w:t>2 points</w:t>
            </w:r>
          </w:p>
        </w:tc>
        <w:tc>
          <w:tcPr>
            <w:tcW w:w="2137" w:type="dxa"/>
          </w:tcPr>
          <w:p w14:paraId="35504065" w14:textId="77777777" w:rsidR="00C13FB1" w:rsidRDefault="00C13FB1" w:rsidP="00463CD5">
            <w:pPr>
              <w:spacing w:after="0"/>
              <w:jc w:val="center"/>
            </w:pPr>
            <w:r>
              <w:t>0 points</w:t>
            </w:r>
          </w:p>
        </w:tc>
      </w:tr>
      <w:tr w:rsidR="00C13FB1" w14:paraId="4667D216" w14:textId="77777777" w:rsidTr="003E2E5C">
        <w:tc>
          <w:tcPr>
            <w:tcW w:w="805" w:type="dxa"/>
          </w:tcPr>
          <w:p w14:paraId="76F8DEF2" w14:textId="77777777" w:rsidR="00C13FB1" w:rsidRDefault="00C13FB1" w:rsidP="00463CD5">
            <w:pPr>
              <w:spacing w:after="0"/>
            </w:pPr>
            <w:r>
              <w:t>ELA</w:t>
            </w:r>
          </w:p>
        </w:tc>
        <w:tc>
          <w:tcPr>
            <w:tcW w:w="2136" w:type="dxa"/>
          </w:tcPr>
          <w:p w14:paraId="448DE58C" w14:textId="77777777" w:rsidR="00C13FB1" w:rsidRDefault="00CD401F" w:rsidP="00463CD5">
            <w:pPr>
              <w:spacing w:after="0"/>
              <w:jc w:val="center"/>
            </w:pPr>
            <w:r>
              <w:rPr>
                <w:sz w:val="21"/>
                <w:szCs w:val="21"/>
              </w:rPr>
              <w:t>≥</w:t>
            </w:r>
            <w:r w:rsidR="00C13FB1">
              <w:rPr>
                <w:sz w:val="21"/>
                <w:szCs w:val="21"/>
              </w:rPr>
              <w:t xml:space="preserve"> 48.8%</w:t>
            </w:r>
          </w:p>
        </w:tc>
        <w:tc>
          <w:tcPr>
            <w:tcW w:w="2136" w:type="dxa"/>
          </w:tcPr>
          <w:p w14:paraId="12ABFA9D" w14:textId="77777777" w:rsidR="00C13FB1" w:rsidRDefault="00C13FB1" w:rsidP="00463CD5">
            <w:pPr>
              <w:spacing w:after="0"/>
              <w:jc w:val="center"/>
            </w:pPr>
            <w:r>
              <w:rPr>
                <w:sz w:val="21"/>
                <w:szCs w:val="21"/>
              </w:rPr>
              <w:t xml:space="preserve">48.8% &gt; Prof </w:t>
            </w:r>
            <w:r w:rsidR="00CD401F">
              <w:rPr>
                <w:sz w:val="21"/>
                <w:szCs w:val="21"/>
              </w:rPr>
              <w:t>≥</w:t>
            </w:r>
            <w:r>
              <w:rPr>
                <w:sz w:val="21"/>
                <w:szCs w:val="21"/>
              </w:rPr>
              <w:t xml:space="preserve"> 31.6%</w:t>
            </w:r>
          </w:p>
        </w:tc>
        <w:tc>
          <w:tcPr>
            <w:tcW w:w="2136" w:type="dxa"/>
          </w:tcPr>
          <w:p w14:paraId="6ABA08D6" w14:textId="77777777" w:rsidR="00C13FB1" w:rsidRDefault="00C13FB1" w:rsidP="00463CD5">
            <w:pPr>
              <w:spacing w:after="0"/>
              <w:jc w:val="center"/>
            </w:pPr>
            <w:r>
              <w:rPr>
                <w:sz w:val="21"/>
                <w:szCs w:val="21"/>
              </w:rPr>
              <w:t xml:space="preserve">31.6% &gt; Prof </w:t>
            </w:r>
            <w:r w:rsidR="00CD401F">
              <w:rPr>
                <w:sz w:val="21"/>
                <w:szCs w:val="21"/>
              </w:rPr>
              <w:t>≥</w:t>
            </w:r>
            <w:r>
              <w:rPr>
                <w:sz w:val="21"/>
                <w:szCs w:val="21"/>
              </w:rPr>
              <w:t xml:space="preserve"> 17.9%</w:t>
            </w:r>
          </w:p>
        </w:tc>
        <w:tc>
          <w:tcPr>
            <w:tcW w:w="2137" w:type="dxa"/>
          </w:tcPr>
          <w:p w14:paraId="7DF1F598" w14:textId="77777777" w:rsidR="00C13FB1" w:rsidRDefault="00C13FB1" w:rsidP="00463CD5">
            <w:pPr>
              <w:spacing w:after="0"/>
              <w:jc w:val="center"/>
            </w:pPr>
            <w:r>
              <w:rPr>
                <w:sz w:val="21"/>
                <w:szCs w:val="21"/>
              </w:rPr>
              <w:t>17.9% &gt;</w:t>
            </w:r>
          </w:p>
        </w:tc>
      </w:tr>
      <w:tr w:rsidR="00C13FB1" w14:paraId="02A4989D" w14:textId="77777777" w:rsidTr="003E2E5C">
        <w:tc>
          <w:tcPr>
            <w:tcW w:w="805" w:type="dxa"/>
          </w:tcPr>
          <w:p w14:paraId="17F3783A" w14:textId="77777777" w:rsidR="00C13FB1" w:rsidRDefault="00C13FB1" w:rsidP="00463CD5">
            <w:pPr>
              <w:spacing w:after="0"/>
            </w:pPr>
            <w:r>
              <w:t>Math</w:t>
            </w:r>
          </w:p>
        </w:tc>
        <w:tc>
          <w:tcPr>
            <w:tcW w:w="2136" w:type="dxa"/>
          </w:tcPr>
          <w:p w14:paraId="72580190" w14:textId="77777777" w:rsidR="00C13FB1" w:rsidRDefault="00CD401F" w:rsidP="00463CD5">
            <w:pPr>
              <w:spacing w:after="0"/>
              <w:jc w:val="center"/>
            </w:pPr>
            <w:r>
              <w:rPr>
                <w:sz w:val="21"/>
                <w:szCs w:val="21"/>
              </w:rPr>
              <w:t>≥</w:t>
            </w:r>
            <w:r w:rsidR="00C13FB1">
              <w:rPr>
                <w:sz w:val="21"/>
                <w:szCs w:val="21"/>
              </w:rPr>
              <w:t xml:space="preserve"> 26.7%</w:t>
            </w:r>
          </w:p>
        </w:tc>
        <w:tc>
          <w:tcPr>
            <w:tcW w:w="2136" w:type="dxa"/>
          </w:tcPr>
          <w:p w14:paraId="3540EFDE" w14:textId="77777777" w:rsidR="00C13FB1" w:rsidRDefault="00C13FB1" w:rsidP="00463CD5">
            <w:pPr>
              <w:spacing w:after="0"/>
              <w:jc w:val="center"/>
            </w:pPr>
            <w:r>
              <w:rPr>
                <w:sz w:val="21"/>
                <w:szCs w:val="21"/>
              </w:rPr>
              <w:t xml:space="preserve">26.7% &gt; Prof </w:t>
            </w:r>
            <w:r w:rsidR="00CD401F">
              <w:rPr>
                <w:sz w:val="21"/>
                <w:szCs w:val="21"/>
              </w:rPr>
              <w:t>≥</w:t>
            </w:r>
            <w:r>
              <w:rPr>
                <w:sz w:val="21"/>
                <w:szCs w:val="21"/>
              </w:rPr>
              <w:t xml:space="preserve"> 14.1%</w:t>
            </w:r>
          </w:p>
        </w:tc>
        <w:tc>
          <w:tcPr>
            <w:tcW w:w="2136" w:type="dxa"/>
          </w:tcPr>
          <w:p w14:paraId="173EE98C" w14:textId="77777777" w:rsidR="00C13FB1" w:rsidRDefault="00C13FB1" w:rsidP="00463CD5">
            <w:pPr>
              <w:spacing w:after="0"/>
              <w:jc w:val="center"/>
            </w:pPr>
            <w:r>
              <w:rPr>
                <w:sz w:val="21"/>
                <w:szCs w:val="21"/>
              </w:rPr>
              <w:t xml:space="preserve">14.1% &gt; Prof </w:t>
            </w:r>
            <w:r w:rsidR="00CD401F">
              <w:rPr>
                <w:sz w:val="21"/>
                <w:szCs w:val="21"/>
              </w:rPr>
              <w:t>≥</w:t>
            </w:r>
            <w:r>
              <w:rPr>
                <w:sz w:val="21"/>
                <w:szCs w:val="21"/>
              </w:rPr>
              <w:t xml:space="preserve"> 6.9</w:t>
            </w:r>
          </w:p>
        </w:tc>
        <w:tc>
          <w:tcPr>
            <w:tcW w:w="2137" w:type="dxa"/>
          </w:tcPr>
          <w:p w14:paraId="639267CA" w14:textId="77777777" w:rsidR="00C13FB1" w:rsidRDefault="00C13FB1" w:rsidP="00463CD5">
            <w:pPr>
              <w:spacing w:after="0"/>
              <w:jc w:val="center"/>
            </w:pPr>
            <w:r>
              <w:rPr>
                <w:sz w:val="21"/>
                <w:szCs w:val="21"/>
              </w:rPr>
              <w:t>6.9% &gt;</w:t>
            </w:r>
          </w:p>
        </w:tc>
      </w:tr>
    </w:tbl>
    <w:p w14:paraId="7F7F658B" w14:textId="77777777" w:rsidR="00C13FB1" w:rsidRDefault="00C13FB1" w:rsidP="00463CD5">
      <w:pPr>
        <w:spacing w:after="0"/>
        <w:rPr>
          <w:rStyle w:val="IntenseEmphasis"/>
          <w:i w:val="0"/>
          <w:color w:val="auto"/>
        </w:rPr>
      </w:pPr>
    </w:p>
    <w:p w14:paraId="556793A3" w14:textId="77777777" w:rsidR="00463CD5" w:rsidRDefault="00463CD5" w:rsidP="00463CD5">
      <w:pPr>
        <w:pStyle w:val="Heading4"/>
      </w:pPr>
      <w:r>
        <w:t>Preschool Skills (Indicator 7)</w:t>
      </w:r>
    </w:p>
    <w:p w14:paraId="0197B4A7" w14:textId="77777777" w:rsidR="00463CD5" w:rsidRDefault="00463CD5" w:rsidP="00463CD5">
      <w:pPr>
        <w:spacing w:after="0" w:line="240" w:lineRule="auto"/>
        <w:ind w:right="416"/>
      </w:pPr>
      <w:bookmarkStart w:id="1" w:name="_gjdgxs" w:colFirst="0" w:colLast="0"/>
      <w:bookmarkEnd w:id="1"/>
      <w:r>
        <w:t>The preschool skills consisted of three expected outcomes – A. Positive social-emotional skills, B. Acquisition and use of knowledge and s</w:t>
      </w:r>
      <w:r w:rsidRPr="00A81749">
        <w:t xml:space="preserve">kills, and </w:t>
      </w:r>
      <w:r>
        <w:t>C. Use of appropriate behaviors to meet their n</w:t>
      </w:r>
      <w:r w:rsidRPr="00A81749">
        <w:t xml:space="preserve">eeds - and two summary statements below for each outcome;  </w:t>
      </w:r>
    </w:p>
    <w:p w14:paraId="33FA1561" w14:textId="77777777" w:rsidR="00463CD5" w:rsidRDefault="0094778B" w:rsidP="00463CD5">
      <w:pPr>
        <w:numPr>
          <w:ilvl w:val="0"/>
          <w:numId w:val="8"/>
        </w:numPr>
        <w:spacing w:after="0" w:line="240" w:lineRule="auto"/>
        <w:ind w:right="416" w:hanging="360"/>
        <w:contextualSpacing/>
      </w:pPr>
      <w:r>
        <w:t xml:space="preserve">Growth - </w:t>
      </w:r>
      <w:r w:rsidR="00463CD5">
        <w:t>Of the children who entered the program below age expectations, the percent who substantially increased their rate of growth by the time they exited the program.</w:t>
      </w:r>
    </w:p>
    <w:p w14:paraId="1C12F240" w14:textId="77777777" w:rsidR="00463CD5" w:rsidRDefault="0094778B" w:rsidP="00463CD5">
      <w:pPr>
        <w:numPr>
          <w:ilvl w:val="0"/>
          <w:numId w:val="8"/>
        </w:numPr>
        <w:spacing w:after="0" w:line="240" w:lineRule="auto"/>
        <w:ind w:right="416" w:hanging="360"/>
        <w:contextualSpacing/>
      </w:pPr>
      <w:r>
        <w:t>Achievement - Of the children who entered the program below age expectations, t</w:t>
      </w:r>
      <w:r w:rsidR="00463CD5">
        <w:t>he percent of children who were functioning within age expectations by the time they exited the program</w:t>
      </w:r>
    </w:p>
    <w:p w14:paraId="1DE42F39" w14:textId="742996F2" w:rsidR="00463CD5" w:rsidRDefault="00463CD5" w:rsidP="00463CD5">
      <w:pPr>
        <w:spacing w:before="40" w:after="0" w:line="240" w:lineRule="auto"/>
      </w:pPr>
      <w:r>
        <w:t xml:space="preserve">The data indicating the percent of children with IEPs who met these summary statements for each of the three outcomes came from TS Gold. The percentage for each outcome and summary statement was ranked across the state to indicate AU’s percentile. </w:t>
      </w:r>
      <w:r w:rsidR="00E7550B">
        <w:t xml:space="preserve">Each summary statement was assigned a possible eligible points of 1.5. </w:t>
      </w:r>
      <w:r w:rsidR="005307BB">
        <w:t>Based on the scoring method discussed under “Common Calculation Rules” above, the following rubric developed based on the SY2015-16 data was applied:</w:t>
      </w:r>
    </w:p>
    <w:tbl>
      <w:tblPr>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0"/>
        <w:gridCol w:w="1530"/>
        <w:gridCol w:w="2280"/>
        <w:gridCol w:w="2220"/>
        <w:gridCol w:w="1590"/>
      </w:tblGrid>
      <w:tr w:rsidR="00463CD5" w14:paraId="0679FAF6" w14:textId="77777777" w:rsidTr="0094778B">
        <w:tc>
          <w:tcPr>
            <w:tcW w:w="1730" w:type="dxa"/>
          </w:tcPr>
          <w:p w14:paraId="55F44EBF" w14:textId="77777777" w:rsidR="00463CD5" w:rsidRDefault="00463CD5" w:rsidP="00463CD5">
            <w:pPr>
              <w:spacing w:after="0"/>
            </w:pPr>
          </w:p>
        </w:tc>
        <w:tc>
          <w:tcPr>
            <w:tcW w:w="1530" w:type="dxa"/>
          </w:tcPr>
          <w:p w14:paraId="187DDDF4" w14:textId="77777777" w:rsidR="00463CD5" w:rsidRDefault="0094778B" w:rsidP="00463CD5">
            <w:pPr>
              <w:spacing w:after="0"/>
              <w:jc w:val="center"/>
            </w:pPr>
            <w:r>
              <w:t>1.5 points</w:t>
            </w:r>
          </w:p>
        </w:tc>
        <w:tc>
          <w:tcPr>
            <w:tcW w:w="2280" w:type="dxa"/>
          </w:tcPr>
          <w:p w14:paraId="2FB88C4B" w14:textId="77777777" w:rsidR="00463CD5" w:rsidRDefault="0094778B" w:rsidP="00463CD5">
            <w:pPr>
              <w:spacing w:after="0"/>
              <w:jc w:val="center"/>
            </w:pPr>
            <w:r>
              <w:t>1 point</w:t>
            </w:r>
          </w:p>
        </w:tc>
        <w:tc>
          <w:tcPr>
            <w:tcW w:w="2220" w:type="dxa"/>
          </w:tcPr>
          <w:p w14:paraId="55EAEAFE" w14:textId="77777777" w:rsidR="00463CD5" w:rsidRDefault="0094778B" w:rsidP="00463CD5">
            <w:pPr>
              <w:spacing w:after="0"/>
              <w:jc w:val="center"/>
            </w:pPr>
            <w:r>
              <w:t>0.5 points</w:t>
            </w:r>
          </w:p>
        </w:tc>
        <w:tc>
          <w:tcPr>
            <w:tcW w:w="1590" w:type="dxa"/>
          </w:tcPr>
          <w:p w14:paraId="3045F2A2" w14:textId="77777777" w:rsidR="00463CD5" w:rsidRDefault="0094778B" w:rsidP="00463CD5">
            <w:pPr>
              <w:spacing w:after="0"/>
              <w:jc w:val="center"/>
            </w:pPr>
            <w:r>
              <w:t>0 points</w:t>
            </w:r>
          </w:p>
        </w:tc>
      </w:tr>
      <w:tr w:rsidR="00463CD5" w14:paraId="75EA16E0" w14:textId="77777777" w:rsidTr="0094778B">
        <w:tc>
          <w:tcPr>
            <w:tcW w:w="1730" w:type="dxa"/>
          </w:tcPr>
          <w:p w14:paraId="109D5522" w14:textId="77777777" w:rsidR="00463CD5" w:rsidRDefault="0094778B" w:rsidP="00463CD5">
            <w:pPr>
              <w:spacing w:after="0"/>
            </w:pPr>
            <w:r>
              <w:t>A Growth</w:t>
            </w:r>
          </w:p>
        </w:tc>
        <w:tc>
          <w:tcPr>
            <w:tcW w:w="1530" w:type="dxa"/>
          </w:tcPr>
          <w:p w14:paraId="7ED7C1CE" w14:textId="77777777" w:rsidR="00463CD5" w:rsidRDefault="00BA1D80" w:rsidP="00463CD5">
            <w:pPr>
              <w:spacing w:after="0"/>
              <w:jc w:val="center"/>
            </w:pPr>
            <w:r>
              <w:rPr>
                <w:sz w:val="21"/>
                <w:szCs w:val="21"/>
              </w:rPr>
              <w:t>≥</w:t>
            </w:r>
            <w:r w:rsidR="00463CD5">
              <w:rPr>
                <w:sz w:val="21"/>
                <w:szCs w:val="21"/>
              </w:rPr>
              <w:t xml:space="preserve"> 91.5%</w:t>
            </w:r>
          </w:p>
        </w:tc>
        <w:tc>
          <w:tcPr>
            <w:tcW w:w="2280" w:type="dxa"/>
          </w:tcPr>
          <w:p w14:paraId="3632EE7A" w14:textId="77777777" w:rsidR="00463CD5" w:rsidRDefault="00463CD5" w:rsidP="00463CD5">
            <w:pPr>
              <w:spacing w:after="0"/>
              <w:jc w:val="center"/>
            </w:pPr>
            <w:r>
              <w:rPr>
                <w:sz w:val="21"/>
                <w:szCs w:val="21"/>
              </w:rPr>
              <w:t xml:space="preserve">91.5% &gt; A1 </w:t>
            </w:r>
            <w:r w:rsidR="00BA1D80">
              <w:rPr>
                <w:sz w:val="21"/>
                <w:szCs w:val="21"/>
              </w:rPr>
              <w:t>≥</w:t>
            </w:r>
            <w:r>
              <w:rPr>
                <w:sz w:val="21"/>
                <w:szCs w:val="21"/>
              </w:rPr>
              <w:t xml:space="preserve"> 82%</w:t>
            </w:r>
          </w:p>
        </w:tc>
        <w:tc>
          <w:tcPr>
            <w:tcW w:w="2220" w:type="dxa"/>
          </w:tcPr>
          <w:p w14:paraId="5AF394DC" w14:textId="77777777" w:rsidR="00463CD5" w:rsidRDefault="00463CD5" w:rsidP="00463CD5">
            <w:pPr>
              <w:spacing w:after="0"/>
              <w:jc w:val="center"/>
            </w:pPr>
            <w:r>
              <w:rPr>
                <w:sz w:val="21"/>
                <w:szCs w:val="21"/>
              </w:rPr>
              <w:t xml:space="preserve">82% &gt; A1 </w:t>
            </w:r>
            <w:r w:rsidR="00BA1D80">
              <w:rPr>
                <w:sz w:val="21"/>
                <w:szCs w:val="21"/>
              </w:rPr>
              <w:t>≥</w:t>
            </w:r>
            <w:r>
              <w:rPr>
                <w:sz w:val="21"/>
                <w:szCs w:val="21"/>
              </w:rPr>
              <w:t xml:space="preserve"> 73.9%</w:t>
            </w:r>
          </w:p>
        </w:tc>
        <w:tc>
          <w:tcPr>
            <w:tcW w:w="1590" w:type="dxa"/>
          </w:tcPr>
          <w:p w14:paraId="4DA2B442" w14:textId="77777777" w:rsidR="00463CD5" w:rsidRDefault="00463CD5" w:rsidP="00463CD5">
            <w:pPr>
              <w:spacing w:after="0"/>
              <w:jc w:val="center"/>
            </w:pPr>
            <w:r>
              <w:rPr>
                <w:sz w:val="21"/>
                <w:szCs w:val="21"/>
              </w:rPr>
              <w:t>73.9% &gt;</w:t>
            </w:r>
          </w:p>
        </w:tc>
      </w:tr>
      <w:tr w:rsidR="00463CD5" w14:paraId="56E98F1B" w14:textId="77777777" w:rsidTr="0094778B">
        <w:tc>
          <w:tcPr>
            <w:tcW w:w="1730" w:type="dxa"/>
          </w:tcPr>
          <w:p w14:paraId="307C737B" w14:textId="77777777" w:rsidR="00463CD5" w:rsidRDefault="0094778B" w:rsidP="00463CD5">
            <w:pPr>
              <w:spacing w:after="0"/>
            </w:pPr>
            <w:r>
              <w:t>A Achievement</w:t>
            </w:r>
          </w:p>
        </w:tc>
        <w:tc>
          <w:tcPr>
            <w:tcW w:w="1530" w:type="dxa"/>
          </w:tcPr>
          <w:p w14:paraId="316702F0" w14:textId="77777777" w:rsidR="00463CD5" w:rsidRDefault="00BA1D80" w:rsidP="00463CD5">
            <w:pPr>
              <w:spacing w:after="0"/>
              <w:jc w:val="center"/>
            </w:pPr>
            <w:r>
              <w:rPr>
                <w:sz w:val="21"/>
                <w:szCs w:val="21"/>
              </w:rPr>
              <w:t>≥</w:t>
            </w:r>
            <w:r w:rsidR="00463CD5">
              <w:rPr>
                <w:sz w:val="21"/>
                <w:szCs w:val="21"/>
              </w:rPr>
              <w:t xml:space="preserve"> 82.8%</w:t>
            </w:r>
          </w:p>
        </w:tc>
        <w:tc>
          <w:tcPr>
            <w:tcW w:w="2280" w:type="dxa"/>
          </w:tcPr>
          <w:p w14:paraId="57E86F14" w14:textId="77777777" w:rsidR="00463CD5" w:rsidRDefault="00463CD5" w:rsidP="00463CD5">
            <w:pPr>
              <w:spacing w:after="0"/>
              <w:jc w:val="center"/>
            </w:pPr>
            <w:r>
              <w:rPr>
                <w:sz w:val="21"/>
                <w:szCs w:val="21"/>
              </w:rPr>
              <w:t xml:space="preserve">82.8% &gt; A12 </w:t>
            </w:r>
            <w:r w:rsidR="00BA1D80">
              <w:rPr>
                <w:sz w:val="21"/>
                <w:szCs w:val="21"/>
              </w:rPr>
              <w:t>≥</w:t>
            </w:r>
            <w:r>
              <w:rPr>
                <w:sz w:val="21"/>
                <w:szCs w:val="21"/>
              </w:rPr>
              <w:t xml:space="preserve"> 67.5%</w:t>
            </w:r>
          </w:p>
        </w:tc>
        <w:tc>
          <w:tcPr>
            <w:tcW w:w="2220" w:type="dxa"/>
          </w:tcPr>
          <w:p w14:paraId="0AFA2D75" w14:textId="77777777" w:rsidR="00463CD5" w:rsidRDefault="00463CD5" w:rsidP="00463CD5">
            <w:pPr>
              <w:spacing w:after="0"/>
              <w:jc w:val="center"/>
            </w:pPr>
            <w:r>
              <w:rPr>
                <w:sz w:val="21"/>
                <w:szCs w:val="21"/>
              </w:rPr>
              <w:t xml:space="preserve">67.5% &gt; A2 </w:t>
            </w:r>
            <w:r w:rsidR="00BA1D80">
              <w:rPr>
                <w:sz w:val="21"/>
                <w:szCs w:val="21"/>
              </w:rPr>
              <w:t>≥</w:t>
            </w:r>
            <w:r>
              <w:rPr>
                <w:sz w:val="21"/>
                <w:szCs w:val="21"/>
              </w:rPr>
              <w:t xml:space="preserve"> 59.6%</w:t>
            </w:r>
          </w:p>
        </w:tc>
        <w:tc>
          <w:tcPr>
            <w:tcW w:w="1590" w:type="dxa"/>
          </w:tcPr>
          <w:p w14:paraId="3AAE9727" w14:textId="77777777" w:rsidR="00463CD5" w:rsidRDefault="00463CD5" w:rsidP="00463CD5">
            <w:pPr>
              <w:spacing w:after="0"/>
              <w:jc w:val="center"/>
            </w:pPr>
            <w:r>
              <w:rPr>
                <w:sz w:val="21"/>
                <w:szCs w:val="21"/>
              </w:rPr>
              <w:t>59.6% &gt;</w:t>
            </w:r>
          </w:p>
        </w:tc>
      </w:tr>
      <w:tr w:rsidR="00463CD5" w14:paraId="3B8271C4" w14:textId="77777777" w:rsidTr="0094778B">
        <w:tc>
          <w:tcPr>
            <w:tcW w:w="1730" w:type="dxa"/>
          </w:tcPr>
          <w:p w14:paraId="5923D3C7" w14:textId="77777777" w:rsidR="00463CD5" w:rsidRDefault="0094778B" w:rsidP="00463CD5">
            <w:pPr>
              <w:spacing w:after="0"/>
            </w:pPr>
            <w:r>
              <w:t>B Growth</w:t>
            </w:r>
          </w:p>
        </w:tc>
        <w:tc>
          <w:tcPr>
            <w:tcW w:w="1530" w:type="dxa"/>
          </w:tcPr>
          <w:p w14:paraId="4E805262" w14:textId="77777777" w:rsidR="00463CD5" w:rsidRDefault="00BA1D80" w:rsidP="00463CD5">
            <w:pPr>
              <w:spacing w:after="0"/>
              <w:jc w:val="center"/>
            </w:pPr>
            <w:r>
              <w:rPr>
                <w:sz w:val="21"/>
                <w:szCs w:val="21"/>
              </w:rPr>
              <w:t>≥</w:t>
            </w:r>
            <w:r w:rsidR="00463CD5">
              <w:rPr>
                <w:sz w:val="21"/>
                <w:szCs w:val="21"/>
              </w:rPr>
              <w:t xml:space="preserve"> 91.2%</w:t>
            </w:r>
          </w:p>
        </w:tc>
        <w:tc>
          <w:tcPr>
            <w:tcW w:w="2280" w:type="dxa"/>
          </w:tcPr>
          <w:p w14:paraId="2BE55251" w14:textId="77777777" w:rsidR="00463CD5" w:rsidRDefault="00463CD5" w:rsidP="00463CD5">
            <w:pPr>
              <w:spacing w:after="0"/>
              <w:jc w:val="center"/>
            </w:pPr>
            <w:r>
              <w:rPr>
                <w:sz w:val="21"/>
                <w:szCs w:val="21"/>
              </w:rPr>
              <w:t xml:space="preserve">91.2% &gt; B1 </w:t>
            </w:r>
            <w:r w:rsidR="00BA1D80">
              <w:rPr>
                <w:sz w:val="21"/>
                <w:szCs w:val="21"/>
              </w:rPr>
              <w:t>≥</w:t>
            </w:r>
            <w:r>
              <w:rPr>
                <w:sz w:val="21"/>
                <w:szCs w:val="21"/>
              </w:rPr>
              <w:t xml:space="preserve"> 80.4%</w:t>
            </w:r>
          </w:p>
        </w:tc>
        <w:tc>
          <w:tcPr>
            <w:tcW w:w="2220" w:type="dxa"/>
          </w:tcPr>
          <w:p w14:paraId="1793C9AA" w14:textId="77777777" w:rsidR="00463CD5" w:rsidRDefault="00463CD5" w:rsidP="00463CD5">
            <w:pPr>
              <w:spacing w:after="0"/>
              <w:jc w:val="center"/>
            </w:pPr>
            <w:r>
              <w:rPr>
                <w:sz w:val="21"/>
                <w:szCs w:val="21"/>
              </w:rPr>
              <w:t xml:space="preserve">80.4% &gt; B1 </w:t>
            </w:r>
            <w:r w:rsidR="00BA1D80">
              <w:rPr>
                <w:sz w:val="21"/>
                <w:szCs w:val="21"/>
              </w:rPr>
              <w:t>≥</w:t>
            </w:r>
            <w:r>
              <w:rPr>
                <w:sz w:val="21"/>
                <w:szCs w:val="21"/>
              </w:rPr>
              <w:t xml:space="preserve"> 72.1%</w:t>
            </w:r>
          </w:p>
        </w:tc>
        <w:tc>
          <w:tcPr>
            <w:tcW w:w="1590" w:type="dxa"/>
          </w:tcPr>
          <w:p w14:paraId="1BAC493D" w14:textId="77777777" w:rsidR="00463CD5" w:rsidRDefault="00463CD5" w:rsidP="00463CD5">
            <w:pPr>
              <w:spacing w:after="0"/>
              <w:jc w:val="center"/>
            </w:pPr>
            <w:r>
              <w:rPr>
                <w:sz w:val="21"/>
                <w:szCs w:val="21"/>
              </w:rPr>
              <w:t>72.1% &gt;</w:t>
            </w:r>
          </w:p>
        </w:tc>
      </w:tr>
      <w:tr w:rsidR="00463CD5" w14:paraId="00600F98" w14:textId="77777777" w:rsidTr="0094778B">
        <w:tc>
          <w:tcPr>
            <w:tcW w:w="1730" w:type="dxa"/>
          </w:tcPr>
          <w:p w14:paraId="1653466B" w14:textId="77777777" w:rsidR="00463CD5" w:rsidRDefault="0094778B" w:rsidP="00463CD5">
            <w:pPr>
              <w:spacing w:after="0"/>
            </w:pPr>
            <w:r>
              <w:t>B Achievement</w:t>
            </w:r>
          </w:p>
        </w:tc>
        <w:tc>
          <w:tcPr>
            <w:tcW w:w="1530" w:type="dxa"/>
          </w:tcPr>
          <w:p w14:paraId="13C14506" w14:textId="77777777" w:rsidR="00463CD5" w:rsidRDefault="00BA1D80" w:rsidP="00463CD5">
            <w:pPr>
              <w:spacing w:after="0"/>
              <w:jc w:val="center"/>
            </w:pPr>
            <w:r>
              <w:rPr>
                <w:sz w:val="21"/>
                <w:szCs w:val="21"/>
              </w:rPr>
              <w:t>≥</w:t>
            </w:r>
            <w:r w:rsidR="00463CD5">
              <w:rPr>
                <w:sz w:val="21"/>
                <w:szCs w:val="21"/>
              </w:rPr>
              <w:t xml:space="preserve"> 81.8%</w:t>
            </w:r>
          </w:p>
        </w:tc>
        <w:tc>
          <w:tcPr>
            <w:tcW w:w="2280" w:type="dxa"/>
          </w:tcPr>
          <w:p w14:paraId="7881BBF6" w14:textId="77777777" w:rsidR="00463CD5" w:rsidRDefault="00463CD5" w:rsidP="00463CD5">
            <w:pPr>
              <w:spacing w:after="0"/>
              <w:jc w:val="center"/>
            </w:pPr>
            <w:r>
              <w:rPr>
                <w:sz w:val="21"/>
                <w:szCs w:val="21"/>
              </w:rPr>
              <w:t xml:space="preserve">81.8% &gt; B2 </w:t>
            </w:r>
            <w:r w:rsidR="00BA1D80">
              <w:rPr>
                <w:sz w:val="21"/>
                <w:szCs w:val="21"/>
              </w:rPr>
              <w:t>≥</w:t>
            </w:r>
            <w:r>
              <w:rPr>
                <w:sz w:val="21"/>
                <w:szCs w:val="21"/>
              </w:rPr>
              <w:t xml:space="preserve"> 69.3%</w:t>
            </w:r>
          </w:p>
        </w:tc>
        <w:tc>
          <w:tcPr>
            <w:tcW w:w="2220" w:type="dxa"/>
          </w:tcPr>
          <w:p w14:paraId="2414C2D5" w14:textId="77777777" w:rsidR="00463CD5" w:rsidRDefault="00463CD5" w:rsidP="00463CD5">
            <w:pPr>
              <w:spacing w:after="0"/>
              <w:jc w:val="center"/>
            </w:pPr>
            <w:r>
              <w:rPr>
                <w:sz w:val="21"/>
                <w:szCs w:val="21"/>
              </w:rPr>
              <w:t xml:space="preserve">69.3% &gt; B2 </w:t>
            </w:r>
            <w:r w:rsidR="00BA1D80">
              <w:rPr>
                <w:sz w:val="21"/>
                <w:szCs w:val="21"/>
              </w:rPr>
              <w:t>≥</w:t>
            </w:r>
            <w:r>
              <w:rPr>
                <w:sz w:val="21"/>
                <w:szCs w:val="21"/>
              </w:rPr>
              <w:t xml:space="preserve"> 55.9%</w:t>
            </w:r>
          </w:p>
        </w:tc>
        <w:tc>
          <w:tcPr>
            <w:tcW w:w="1590" w:type="dxa"/>
          </w:tcPr>
          <w:p w14:paraId="4B831F99" w14:textId="77777777" w:rsidR="00463CD5" w:rsidRDefault="00463CD5" w:rsidP="00463CD5">
            <w:pPr>
              <w:spacing w:after="0"/>
              <w:jc w:val="center"/>
            </w:pPr>
            <w:r>
              <w:rPr>
                <w:sz w:val="21"/>
                <w:szCs w:val="21"/>
              </w:rPr>
              <w:t>55.9% &gt;</w:t>
            </w:r>
          </w:p>
        </w:tc>
      </w:tr>
      <w:tr w:rsidR="00463CD5" w14:paraId="31607B63" w14:textId="77777777" w:rsidTr="0094778B">
        <w:tc>
          <w:tcPr>
            <w:tcW w:w="1730" w:type="dxa"/>
          </w:tcPr>
          <w:p w14:paraId="0042F9FD" w14:textId="77777777" w:rsidR="00463CD5" w:rsidRDefault="0094778B" w:rsidP="00463CD5">
            <w:pPr>
              <w:spacing w:after="0"/>
            </w:pPr>
            <w:r>
              <w:t>C Growth</w:t>
            </w:r>
          </w:p>
        </w:tc>
        <w:tc>
          <w:tcPr>
            <w:tcW w:w="1530" w:type="dxa"/>
          </w:tcPr>
          <w:p w14:paraId="247D0221" w14:textId="77777777" w:rsidR="00463CD5" w:rsidRDefault="00BA1D80" w:rsidP="00463CD5">
            <w:pPr>
              <w:spacing w:after="0"/>
              <w:jc w:val="center"/>
            </w:pPr>
            <w:r>
              <w:rPr>
                <w:sz w:val="21"/>
                <w:szCs w:val="21"/>
              </w:rPr>
              <w:t>≥</w:t>
            </w:r>
            <w:r w:rsidR="00463CD5">
              <w:rPr>
                <w:sz w:val="21"/>
                <w:szCs w:val="21"/>
              </w:rPr>
              <w:t xml:space="preserve"> 86.6%</w:t>
            </w:r>
          </w:p>
        </w:tc>
        <w:tc>
          <w:tcPr>
            <w:tcW w:w="2280" w:type="dxa"/>
          </w:tcPr>
          <w:p w14:paraId="6AC77C12" w14:textId="77777777" w:rsidR="00463CD5" w:rsidRDefault="00463CD5" w:rsidP="00463CD5">
            <w:pPr>
              <w:spacing w:after="0"/>
              <w:jc w:val="center"/>
            </w:pPr>
            <w:r>
              <w:rPr>
                <w:sz w:val="21"/>
                <w:szCs w:val="21"/>
              </w:rPr>
              <w:t xml:space="preserve">86.6% &gt; C1 </w:t>
            </w:r>
            <w:r w:rsidR="00BA1D80">
              <w:rPr>
                <w:sz w:val="21"/>
                <w:szCs w:val="21"/>
              </w:rPr>
              <w:t>≥</w:t>
            </w:r>
            <w:r>
              <w:rPr>
                <w:sz w:val="21"/>
                <w:szCs w:val="21"/>
              </w:rPr>
              <w:t xml:space="preserve"> 76.2%</w:t>
            </w:r>
          </w:p>
        </w:tc>
        <w:tc>
          <w:tcPr>
            <w:tcW w:w="2220" w:type="dxa"/>
          </w:tcPr>
          <w:p w14:paraId="01EFBFC2" w14:textId="77777777" w:rsidR="00463CD5" w:rsidRDefault="00463CD5" w:rsidP="00463CD5">
            <w:pPr>
              <w:spacing w:after="0"/>
              <w:jc w:val="center"/>
            </w:pPr>
            <w:r>
              <w:rPr>
                <w:sz w:val="21"/>
                <w:szCs w:val="21"/>
              </w:rPr>
              <w:t xml:space="preserve">76.2% &gt; C1 </w:t>
            </w:r>
            <w:r w:rsidR="00BA1D80">
              <w:rPr>
                <w:sz w:val="21"/>
                <w:szCs w:val="21"/>
              </w:rPr>
              <w:t>≥</w:t>
            </w:r>
            <w:r>
              <w:rPr>
                <w:sz w:val="21"/>
                <w:szCs w:val="21"/>
              </w:rPr>
              <w:t xml:space="preserve"> 66.7%</w:t>
            </w:r>
          </w:p>
        </w:tc>
        <w:tc>
          <w:tcPr>
            <w:tcW w:w="1590" w:type="dxa"/>
          </w:tcPr>
          <w:p w14:paraId="659C1F0F" w14:textId="77777777" w:rsidR="00463CD5" w:rsidRDefault="00463CD5" w:rsidP="00463CD5">
            <w:pPr>
              <w:spacing w:after="0"/>
              <w:jc w:val="center"/>
            </w:pPr>
            <w:r>
              <w:rPr>
                <w:sz w:val="21"/>
                <w:szCs w:val="21"/>
              </w:rPr>
              <w:t>66.7% &gt;</w:t>
            </w:r>
          </w:p>
        </w:tc>
      </w:tr>
      <w:tr w:rsidR="00463CD5" w14:paraId="0CEFE7DA" w14:textId="77777777" w:rsidTr="0094778B">
        <w:tc>
          <w:tcPr>
            <w:tcW w:w="1730" w:type="dxa"/>
          </w:tcPr>
          <w:p w14:paraId="5D6A55E3" w14:textId="77777777" w:rsidR="00463CD5" w:rsidRDefault="0094778B" w:rsidP="00463CD5">
            <w:pPr>
              <w:spacing w:after="0"/>
            </w:pPr>
            <w:r>
              <w:t>C Achievement</w:t>
            </w:r>
          </w:p>
        </w:tc>
        <w:tc>
          <w:tcPr>
            <w:tcW w:w="1530" w:type="dxa"/>
          </w:tcPr>
          <w:p w14:paraId="536DC5E6" w14:textId="77777777" w:rsidR="00463CD5" w:rsidRDefault="00BA1D80" w:rsidP="00463CD5">
            <w:pPr>
              <w:spacing w:after="0"/>
              <w:jc w:val="center"/>
            </w:pPr>
            <w:r>
              <w:rPr>
                <w:sz w:val="21"/>
                <w:szCs w:val="21"/>
              </w:rPr>
              <w:t>≥</w:t>
            </w:r>
            <w:r w:rsidR="00463CD5">
              <w:rPr>
                <w:sz w:val="21"/>
                <w:szCs w:val="21"/>
              </w:rPr>
              <w:t xml:space="preserve"> 86%</w:t>
            </w:r>
          </w:p>
        </w:tc>
        <w:tc>
          <w:tcPr>
            <w:tcW w:w="2280" w:type="dxa"/>
          </w:tcPr>
          <w:p w14:paraId="354DD9A1" w14:textId="77777777" w:rsidR="00463CD5" w:rsidRDefault="00463CD5" w:rsidP="00463CD5">
            <w:pPr>
              <w:spacing w:after="0"/>
              <w:jc w:val="center"/>
            </w:pPr>
            <w:r>
              <w:rPr>
                <w:sz w:val="21"/>
                <w:szCs w:val="21"/>
              </w:rPr>
              <w:t xml:space="preserve">86% &gt; Prof </w:t>
            </w:r>
            <w:r w:rsidR="00BA1D80">
              <w:rPr>
                <w:sz w:val="21"/>
                <w:szCs w:val="21"/>
              </w:rPr>
              <w:t>≥</w:t>
            </w:r>
            <w:r>
              <w:rPr>
                <w:sz w:val="21"/>
                <w:szCs w:val="21"/>
              </w:rPr>
              <w:t xml:space="preserve"> 71.4%</w:t>
            </w:r>
          </w:p>
        </w:tc>
        <w:tc>
          <w:tcPr>
            <w:tcW w:w="2220" w:type="dxa"/>
          </w:tcPr>
          <w:p w14:paraId="06A2BD80" w14:textId="77777777" w:rsidR="00463CD5" w:rsidRDefault="00463CD5" w:rsidP="00463CD5">
            <w:pPr>
              <w:spacing w:after="0"/>
              <w:jc w:val="center"/>
            </w:pPr>
            <w:r>
              <w:rPr>
                <w:sz w:val="21"/>
                <w:szCs w:val="21"/>
              </w:rPr>
              <w:t xml:space="preserve">71.4% &gt; A2 </w:t>
            </w:r>
            <w:r w:rsidR="00BA1D80">
              <w:rPr>
                <w:sz w:val="21"/>
                <w:szCs w:val="21"/>
              </w:rPr>
              <w:t>≥</w:t>
            </w:r>
            <w:r>
              <w:rPr>
                <w:sz w:val="21"/>
                <w:szCs w:val="21"/>
              </w:rPr>
              <w:t xml:space="preserve"> 61.8%</w:t>
            </w:r>
          </w:p>
        </w:tc>
        <w:tc>
          <w:tcPr>
            <w:tcW w:w="1590" w:type="dxa"/>
          </w:tcPr>
          <w:p w14:paraId="2C4C79F8" w14:textId="77777777" w:rsidR="00463CD5" w:rsidRDefault="00463CD5" w:rsidP="00463CD5">
            <w:pPr>
              <w:spacing w:after="0"/>
              <w:jc w:val="center"/>
            </w:pPr>
            <w:r>
              <w:rPr>
                <w:sz w:val="21"/>
                <w:szCs w:val="21"/>
              </w:rPr>
              <w:t>61.8% &gt;</w:t>
            </w:r>
          </w:p>
        </w:tc>
      </w:tr>
    </w:tbl>
    <w:p w14:paraId="6A9E57FB" w14:textId="77777777" w:rsidR="00EB00BF" w:rsidRDefault="00EB00BF" w:rsidP="00463CD5">
      <w:pPr>
        <w:spacing w:after="0"/>
        <w:rPr>
          <w:rStyle w:val="IntenseEmphasis"/>
          <w:i w:val="0"/>
          <w:color w:val="auto"/>
        </w:rPr>
      </w:pPr>
    </w:p>
    <w:p w14:paraId="57A22474" w14:textId="77777777" w:rsidR="00E7348E" w:rsidRDefault="00E7348E" w:rsidP="00E7348E">
      <w:pPr>
        <w:pStyle w:val="Heading2"/>
      </w:pPr>
      <w:r>
        <w:t>Academic Growth</w:t>
      </w:r>
    </w:p>
    <w:p w14:paraId="025D620B" w14:textId="4025D3E3" w:rsidR="00E7348E" w:rsidRDefault="00E7348E" w:rsidP="00E7348E">
      <w:r>
        <w:t>The Academic Growth section is worth 50% of the Results Score (150 p</w:t>
      </w:r>
      <w:r w:rsidR="002727B2">
        <w:t>oints out of 300 total points).</w:t>
      </w:r>
    </w:p>
    <w:p w14:paraId="5386E2B0" w14:textId="77777777" w:rsidR="00E7348E" w:rsidRDefault="00E7348E" w:rsidP="00E7348E">
      <w:pPr>
        <w:pStyle w:val="Heading4"/>
      </w:pPr>
      <w:r>
        <w:t>Median Growth Percentile</w:t>
      </w:r>
    </w:p>
    <w:p w14:paraId="78B35799" w14:textId="5AEB4656" w:rsidR="00E7348E" w:rsidRDefault="00E7348E" w:rsidP="002D3575">
      <w:pPr>
        <w:spacing w:after="0" w:line="240" w:lineRule="auto"/>
      </w:pPr>
      <w:r>
        <w:t>Students who had a valid Student Growth Percentile were included in the calculation of the Median Growth Percentile. The students were required to have test scores from the regular state assessment for at least 2 years including the current year in order to receive a Student G</w:t>
      </w:r>
      <w:r w:rsidR="00931A25">
        <w:t>rowth Percentile. We calculated</w:t>
      </w:r>
      <w:r>
        <w:t xml:space="preserve"> the median of all the Student Growth Percentiles </w:t>
      </w:r>
      <w:r w:rsidR="00C92872">
        <w:t xml:space="preserve">of students with disabilities </w:t>
      </w:r>
      <w:r>
        <w:t xml:space="preserve">in the AU and ranked them across the state. </w:t>
      </w:r>
      <w:r w:rsidR="002727B2">
        <w:t xml:space="preserve">The minimum N size for Median Growth Percentile was 20. </w:t>
      </w:r>
      <w:r>
        <w:t>The AU in which the student participated in the regular s</w:t>
      </w:r>
      <w:r w:rsidR="00C92872">
        <w:t>tate assessment in the SY2016-17</w:t>
      </w:r>
      <w:r>
        <w:t xml:space="preserve"> was accountable for the student’s Growth Percentile. </w:t>
      </w:r>
      <w:r w:rsidR="005E42BF">
        <w:t xml:space="preserve">The Median Growth Percentile was assigned a possible eligible points of 15 for ELA and Math respectively. </w:t>
      </w:r>
      <w:r w:rsidR="00C92872">
        <w:t>Based on the scoring method discussed under “Common Calculation Rules” above, the following rubric developed based on the SY2015-16 data was applied:</w:t>
      </w:r>
    </w:p>
    <w:tbl>
      <w:tblPr>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2136"/>
        <w:gridCol w:w="2136"/>
        <w:gridCol w:w="2136"/>
        <w:gridCol w:w="2137"/>
      </w:tblGrid>
      <w:tr w:rsidR="00E7348E" w14:paraId="1B8F6AD6" w14:textId="77777777" w:rsidTr="002F3E1A">
        <w:tc>
          <w:tcPr>
            <w:tcW w:w="805" w:type="dxa"/>
          </w:tcPr>
          <w:p w14:paraId="13347B60" w14:textId="77777777" w:rsidR="00E7348E" w:rsidRDefault="00E7348E" w:rsidP="002D3575">
            <w:pPr>
              <w:spacing w:after="0"/>
            </w:pPr>
          </w:p>
        </w:tc>
        <w:tc>
          <w:tcPr>
            <w:tcW w:w="2136" w:type="dxa"/>
          </w:tcPr>
          <w:p w14:paraId="5F6DCFD7" w14:textId="77777777" w:rsidR="00E7348E" w:rsidRDefault="00931A25" w:rsidP="002D3575">
            <w:pPr>
              <w:spacing w:after="0"/>
              <w:jc w:val="center"/>
            </w:pPr>
            <w:r>
              <w:t>15 points</w:t>
            </w:r>
          </w:p>
        </w:tc>
        <w:tc>
          <w:tcPr>
            <w:tcW w:w="2136" w:type="dxa"/>
          </w:tcPr>
          <w:p w14:paraId="12CB4D44" w14:textId="77777777" w:rsidR="00E7348E" w:rsidRDefault="00931A25" w:rsidP="002D3575">
            <w:pPr>
              <w:spacing w:after="0"/>
              <w:jc w:val="center"/>
            </w:pPr>
            <w:r>
              <w:t>10 points</w:t>
            </w:r>
          </w:p>
        </w:tc>
        <w:tc>
          <w:tcPr>
            <w:tcW w:w="2136" w:type="dxa"/>
          </w:tcPr>
          <w:p w14:paraId="1C5FDB3C" w14:textId="77777777" w:rsidR="00E7348E" w:rsidRDefault="00931A25" w:rsidP="002D3575">
            <w:pPr>
              <w:spacing w:after="0"/>
              <w:jc w:val="center"/>
            </w:pPr>
            <w:r>
              <w:t>5 pints</w:t>
            </w:r>
          </w:p>
        </w:tc>
        <w:tc>
          <w:tcPr>
            <w:tcW w:w="2137" w:type="dxa"/>
          </w:tcPr>
          <w:p w14:paraId="246A42BF" w14:textId="77777777" w:rsidR="00E7348E" w:rsidRDefault="00931A25" w:rsidP="002D3575">
            <w:pPr>
              <w:spacing w:after="0"/>
              <w:jc w:val="center"/>
            </w:pPr>
            <w:r>
              <w:t>0 points</w:t>
            </w:r>
          </w:p>
        </w:tc>
      </w:tr>
      <w:tr w:rsidR="00E7348E" w14:paraId="2682579D" w14:textId="77777777" w:rsidTr="002F3E1A">
        <w:tc>
          <w:tcPr>
            <w:tcW w:w="805" w:type="dxa"/>
          </w:tcPr>
          <w:p w14:paraId="68025839" w14:textId="77777777" w:rsidR="00E7348E" w:rsidRDefault="00E7348E" w:rsidP="00B77B99">
            <w:pPr>
              <w:spacing w:after="0"/>
            </w:pPr>
            <w:r>
              <w:t>ELA</w:t>
            </w:r>
          </w:p>
        </w:tc>
        <w:tc>
          <w:tcPr>
            <w:tcW w:w="2136" w:type="dxa"/>
          </w:tcPr>
          <w:p w14:paraId="3CFF83A9" w14:textId="77777777" w:rsidR="00E7348E" w:rsidRDefault="00BA1D80" w:rsidP="00B77B99">
            <w:pPr>
              <w:spacing w:after="0"/>
              <w:jc w:val="center"/>
            </w:pPr>
            <w:r>
              <w:rPr>
                <w:sz w:val="21"/>
                <w:szCs w:val="21"/>
              </w:rPr>
              <w:t>≥</w:t>
            </w:r>
            <w:r w:rsidR="00E7348E">
              <w:rPr>
                <w:sz w:val="21"/>
                <w:szCs w:val="21"/>
              </w:rPr>
              <w:t xml:space="preserve"> 47</w:t>
            </w:r>
          </w:p>
        </w:tc>
        <w:tc>
          <w:tcPr>
            <w:tcW w:w="2136" w:type="dxa"/>
          </w:tcPr>
          <w:p w14:paraId="316AB506" w14:textId="77777777" w:rsidR="00E7348E" w:rsidRDefault="00E7348E" w:rsidP="00B77B99">
            <w:pPr>
              <w:spacing w:after="0"/>
              <w:jc w:val="center"/>
            </w:pPr>
            <w:r>
              <w:rPr>
                <w:sz w:val="21"/>
                <w:szCs w:val="21"/>
              </w:rPr>
              <w:t xml:space="preserve">47 &gt; MGP </w:t>
            </w:r>
            <w:r w:rsidR="00BA1D80">
              <w:rPr>
                <w:sz w:val="21"/>
                <w:szCs w:val="21"/>
              </w:rPr>
              <w:t>≥</w:t>
            </w:r>
            <w:r>
              <w:rPr>
                <w:sz w:val="21"/>
                <w:szCs w:val="21"/>
              </w:rPr>
              <w:t xml:space="preserve"> 39.1</w:t>
            </w:r>
          </w:p>
        </w:tc>
        <w:tc>
          <w:tcPr>
            <w:tcW w:w="2136" w:type="dxa"/>
          </w:tcPr>
          <w:p w14:paraId="65AF7DB8" w14:textId="77777777" w:rsidR="00E7348E" w:rsidRDefault="00E7348E" w:rsidP="00B77B99">
            <w:pPr>
              <w:spacing w:after="0"/>
              <w:jc w:val="center"/>
            </w:pPr>
            <w:r>
              <w:rPr>
                <w:sz w:val="21"/>
                <w:szCs w:val="21"/>
              </w:rPr>
              <w:t xml:space="preserve">39.1 &gt; MGP </w:t>
            </w:r>
            <w:r w:rsidR="00BA1D80">
              <w:rPr>
                <w:sz w:val="21"/>
                <w:szCs w:val="21"/>
              </w:rPr>
              <w:t>≥</w:t>
            </w:r>
            <w:r>
              <w:rPr>
                <w:sz w:val="21"/>
                <w:szCs w:val="21"/>
              </w:rPr>
              <w:t xml:space="preserve"> 33</w:t>
            </w:r>
          </w:p>
        </w:tc>
        <w:tc>
          <w:tcPr>
            <w:tcW w:w="2137" w:type="dxa"/>
          </w:tcPr>
          <w:p w14:paraId="1876F42E" w14:textId="77777777" w:rsidR="00E7348E" w:rsidRDefault="00E7348E" w:rsidP="00B77B99">
            <w:pPr>
              <w:spacing w:after="0"/>
              <w:jc w:val="center"/>
            </w:pPr>
            <w:r>
              <w:rPr>
                <w:sz w:val="21"/>
                <w:szCs w:val="21"/>
              </w:rPr>
              <w:t>33 &gt;</w:t>
            </w:r>
          </w:p>
        </w:tc>
      </w:tr>
      <w:tr w:rsidR="00E7348E" w14:paraId="3F58F1AB" w14:textId="77777777" w:rsidTr="002F3E1A">
        <w:tc>
          <w:tcPr>
            <w:tcW w:w="805" w:type="dxa"/>
          </w:tcPr>
          <w:p w14:paraId="7167DFC6" w14:textId="77777777" w:rsidR="00E7348E" w:rsidRDefault="00E7348E" w:rsidP="00B77B99">
            <w:pPr>
              <w:spacing w:after="0"/>
            </w:pPr>
            <w:r>
              <w:t>Math</w:t>
            </w:r>
          </w:p>
        </w:tc>
        <w:tc>
          <w:tcPr>
            <w:tcW w:w="2136" w:type="dxa"/>
          </w:tcPr>
          <w:p w14:paraId="3900A28B" w14:textId="77777777" w:rsidR="00E7348E" w:rsidRDefault="00BA1D80" w:rsidP="00B77B99">
            <w:pPr>
              <w:spacing w:after="0"/>
              <w:jc w:val="center"/>
            </w:pPr>
            <w:r>
              <w:rPr>
                <w:sz w:val="21"/>
                <w:szCs w:val="21"/>
              </w:rPr>
              <w:t>≥</w:t>
            </w:r>
            <w:r w:rsidR="00E7348E">
              <w:rPr>
                <w:sz w:val="21"/>
                <w:szCs w:val="21"/>
              </w:rPr>
              <w:t xml:space="preserve"> 47</w:t>
            </w:r>
          </w:p>
        </w:tc>
        <w:tc>
          <w:tcPr>
            <w:tcW w:w="2136" w:type="dxa"/>
          </w:tcPr>
          <w:p w14:paraId="686892D3" w14:textId="77777777" w:rsidR="00E7348E" w:rsidRDefault="00E7348E" w:rsidP="00B77B99">
            <w:pPr>
              <w:spacing w:after="0"/>
              <w:jc w:val="center"/>
            </w:pPr>
            <w:r>
              <w:rPr>
                <w:sz w:val="21"/>
                <w:szCs w:val="21"/>
              </w:rPr>
              <w:t xml:space="preserve">47 &gt; MGP </w:t>
            </w:r>
            <w:r w:rsidR="00BA1D80">
              <w:rPr>
                <w:sz w:val="21"/>
                <w:szCs w:val="21"/>
              </w:rPr>
              <w:t>≥</w:t>
            </w:r>
            <w:r>
              <w:rPr>
                <w:sz w:val="21"/>
                <w:szCs w:val="21"/>
              </w:rPr>
              <w:t xml:space="preserve"> 40.7</w:t>
            </w:r>
          </w:p>
        </w:tc>
        <w:tc>
          <w:tcPr>
            <w:tcW w:w="2136" w:type="dxa"/>
          </w:tcPr>
          <w:p w14:paraId="0ED58AD0" w14:textId="77777777" w:rsidR="00E7348E" w:rsidRDefault="00E7348E" w:rsidP="00B77B99">
            <w:pPr>
              <w:spacing w:after="0"/>
              <w:jc w:val="center"/>
            </w:pPr>
            <w:r>
              <w:rPr>
                <w:sz w:val="21"/>
                <w:szCs w:val="21"/>
              </w:rPr>
              <w:t xml:space="preserve">40.7 &gt; MGP </w:t>
            </w:r>
            <w:r w:rsidR="00BA1D80">
              <w:rPr>
                <w:sz w:val="21"/>
                <w:szCs w:val="21"/>
              </w:rPr>
              <w:t>≥</w:t>
            </w:r>
            <w:r>
              <w:rPr>
                <w:sz w:val="21"/>
                <w:szCs w:val="21"/>
              </w:rPr>
              <w:t xml:space="preserve"> 34.5</w:t>
            </w:r>
          </w:p>
        </w:tc>
        <w:tc>
          <w:tcPr>
            <w:tcW w:w="2137" w:type="dxa"/>
          </w:tcPr>
          <w:p w14:paraId="313AFF17" w14:textId="77777777" w:rsidR="00E7348E" w:rsidRDefault="00E7348E" w:rsidP="00B77B99">
            <w:pPr>
              <w:spacing w:after="0"/>
              <w:jc w:val="center"/>
            </w:pPr>
            <w:r>
              <w:rPr>
                <w:sz w:val="21"/>
                <w:szCs w:val="21"/>
              </w:rPr>
              <w:t>34.5 &gt;</w:t>
            </w:r>
          </w:p>
        </w:tc>
      </w:tr>
    </w:tbl>
    <w:p w14:paraId="523BFE91" w14:textId="77777777" w:rsidR="00E7348E" w:rsidRDefault="00E7348E" w:rsidP="00E7348E"/>
    <w:p w14:paraId="62A1EB86" w14:textId="77777777" w:rsidR="00EF2C33" w:rsidRDefault="00EF2C33" w:rsidP="00EF2C33">
      <w:pPr>
        <w:pStyle w:val="Heading4"/>
      </w:pPr>
      <w:r>
        <w:lastRenderedPageBreak/>
        <w:t>Rise Up and Keep Up</w:t>
      </w:r>
    </w:p>
    <w:p w14:paraId="78D54E44" w14:textId="0E51C20E" w:rsidR="00EF2C33" w:rsidRDefault="00EF2C33" w:rsidP="00EF2C33">
      <w:r>
        <w:t xml:space="preserve">Rise Up refers to students on IEPs who are currently not meeting the grade-level expectations on the regular state assessments and are on track to move from one achievement category to the next category within the next three years or by tenth grade. Keep Up refers to students on IEPs who previously met grade-level expectations on the regular state assessments and have demonstrated enough growth in the past year to maintain proficiency over three years or until tenth grade. Due to the lack of an </w:t>
      </w:r>
      <w:r w:rsidR="008F68F9">
        <w:t xml:space="preserve">Adequate </w:t>
      </w:r>
      <w:r>
        <w:t>Growth Percentile based on the 201</w:t>
      </w:r>
      <w:r w:rsidR="002727B2">
        <w:t>7</w:t>
      </w:r>
      <w:r>
        <w:t xml:space="preserve"> state assessment, which feeds the calculation of Rise Up and Keep Up, the Rise Up Percentage and Keep Up Percentage c</w:t>
      </w:r>
      <w:r w:rsidR="008F68F9">
        <w:t>ould not</w:t>
      </w:r>
      <w:r>
        <w:t xml:space="preserve"> be determined. We awarded 30 points</w:t>
      </w:r>
      <w:r w:rsidR="008F68F9">
        <w:t xml:space="preserve"> out of 45 possible eligible points</w:t>
      </w:r>
      <w:r>
        <w:t xml:space="preserve"> for Rise Up and 10 points </w:t>
      </w:r>
      <w:r w:rsidR="008F68F9">
        <w:t xml:space="preserve">out of 15 possible eligible points </w:t>
      </w:r>
      <w:r>
        <w:t>for Keep Up to all AUs for ELA and MATH</w:t>
      </w:r>
      <w:r w:rsidR="008F68F9">
        <w:t xml:space="preserve"> respectively</w:t>
      </w:r>
      <w:r w:rsidR="002727B2">
        <w:t xml:space="preserve"> for the 2018</w:t>
      </w:r>
      <w:r>
        <w:t xml:space="preserve"> Results Matrix.</w:t>
      </w:r>
    </w:p>
    <w:p w14:paraId="2A2877B2" w14:textId="77777777" w:rsidR="008F26E5" w:rsidRDefault="008F26E5" w:rsidP="008F26E5">
      <w:pPr>
        <w:pStyle w:val="Heading2"/>
        <w:spacing w:line="240" w:lineRule="auto"/>
      </w:pPr>
      <w:r>
        <w:t>Postsecondary &amp; Workforce Readiness</w:t>
      </w:r>
    </w:p>
    <w:p w14:paraId="6D84BE34" w14:textId="77777777" w:rsidR="00CB7D77" w:rsidRDefault="008F26E5" w:rsidP="008F26E5">
      <w:r>
        <w:t>The Postsecondary and Workforce Readiness section is worth 35% of the Results Score (105 points out of 300 total points).</w:t>
      </w:r>
    </w:p>
    <w:p w14:paraId="1881C93A" w14:textId="77777777" w:rsidR="00CB7D77" w:rsidRDefault="00CB7D77" w:rsidP="00CB7D77">
      <w:pPr>
        <w:pStyle w:val="Heading4"/>
      </w:pPr>
      <w:r>
        <w:t>Graduation Rate</w:t>
      </w:r>
      <w:r w:rsidR="00AC167B">
        <w:t xml:space="preserve"> (Indicator 1)</w:t>
      </w:r>
    </w:p>
    <w:p w14:paraId="292CC1F1" w14:textId="030282F1" w:rsidR="00CB7D77" w:rsidRDefault="00CB7D77" w:rsidP="00CB7D77">
      <w:pPr>
        <w:spacing w:after="0"/>
      </w:pPr>
      <w:r>
        <w:t>Cohort graduation rates were used to calculate the graduation rates.  The Results Matrix considers the AU’s best of a 4-, 5-, 6-, or 7-year graduation rate, and uses the best rate to determine the percentile relative to other AUs. When the number of cohorts for the highest graduation rate was less than 16, the second highest graduation year with a cohort of</w:t>
      </w:r>
      <w:r w:rsidR="005F7A77">
        <w:t xml:space="preserve"> 16 students or more</w:t>
      </w:r>
      <w:r>
        <w:t xml:space="preserve"> was used to rank the AUs. </w:t>
      </w:r>
      <w:r w:rsidR="005F7A77">
        <w:t xml:space="preserve">If there was less than 16 students in any of the cohort years in SY2016-17 or SY2015-16, the previous year’s cohort and the current year’s cohort were aggregated. </w:t>
      </w:r>
      <w:r>
        <w:t>As an example of the cohort graduation rate, the 4-year coh</w:t>
      </w:r>
      <w:r w:rsidR="005F7A77">
        <w:t>ort graduation rate for the 2016-17</w:t>
      </w:r>
      <w:r>
        <w:t xml:space="preserve"> school year is defined as the “Number of students receiving a regular diploma within 4 years of entering from 9</w:t>
      </w:r>
      <w:r w:rsidRPr="00CB7D77">
        <w:rPr>
          <w:vertAlign w:val="superscript"/>
        </w:rPr>
        <w:t>th</w:t>
      </w:r>
      <w:r w:rsidR="005F7A77">
        <w:t xml:space="preserve"> grade during SY2016-17</w:t>
      </w:r>
      <w:r>
        <w:t xml:space="preserve"> DIVIDED BY the </w:t>
      </w:r>
      <w:r>
        <w:rPr>
          <w:color w:val="333333"/>
        </w:rPr>
        <w:t>number of students entering from 9</w:t>
      </w:r>
      <w:r w:rsidRPr="00CB7D77">
        <w:rPr>
          <w:color w:val="333333"/>
          <w:vertAlign w:val="superscript"/>
        </w:rPr>
        <w:t>th</w:t>
      </w:r>
      <w:r>
        <w:rPr>
          <w:color w:val="333333"/>
        </w:rPr>
        <w:t xml:space="preserve"> grade </w:t>
      </w:r>
      <w:r>
        <w:rPr>
          <w:b/>
          <w:color w:val="333333"/>
        </w:rPr>
        <w:t xml:space="preserve">plus </w:t>
      </w:r>
      <w:r>
        <w:rPr>
          <w:color w:val="333333"/>
        </w:rPr>
        <w:t>the</w:t>
      </w:r>
      <w:r>
        <w:rPr>
          <w:b/>
          <w:color w:val="333333"/>
        </w:rPr>
        <w:t xml:space="preserve"> </w:t>
      </w:r>
      <w:r>
        <w:rPr>
          <w:color w:val="333333"/>
        </w:rPr>
        <w:t>number of transfers into the AU </w:t>
      </w:r>
      <w:r>
        <w:rPr>
          <w:b/>
          <w:color w:val="333333"/>
        </w:rPr>
        <w:t xml:space="preserve">minus </w:t>
      </w:r>
      <w:r>
        <w:rPr>
          <w:color w:val="333333"/>
        </w:rPr>
        <w:t xml:space="preserve">the number of verified transfers out of the AU.”  The </w:t>
      </w:r>
      <w:r>
        <w:t xml:space="preserve">Student End of Year data collection is used for this calculation. Please see CDE’s </w:t>
      </w:r>
      <w:hyperlink r:id="rId8" w:history="1">
        <w:r w:rsidRPr="005109AB">
          <w:rPr>
            <w:rStyle w:val="Hyperlink"/>
          </w:rPr>
          <w:t>Graduation Stati</w:t>
        </w:r>
        <w:r w:rsidRPr="005109AB">
          <w:rPr>
            <w:rStyle w:val="Hyperlink"/>
          </w:rPr>
          <w:t>s</w:t>
        </w:r>
        <w:r w:rsidRPr="005109AB">
          <w:rPr>
            <w:rStyle w:val="Hyperlink"/>
          </w:rPr>
          <w:t>tics Webpage</w:t>
        </w:r>
      </w:hyperlink>
      <w:r>
        <w:t xml:space="preserve"> for more information. Students who have been reported to have IEPs at any point during their high school careers are included in the calculation. </w:t>
      </w:r>
    </w:p>
    <w:p w14:paraId="3518FF90" w14:textId="277063C9" w:rsidR="00CB7D77" w:rsidRDefault="00CB7D77" w:rsidP="00CB7D77">
      <w:pPr>
        <w:spacing w:after="0"/>
      </w:pPr>
      <w:r>
        <w:t xml:space="preserve">The graduation rate was assigned a possible eligible points of 21. </w:t>
      </w:r>
      <w:r w:rsidR="005F7A77">
        <w:t>Based on the scoring method discussed under “Common Calculation Rules” above, the following rubric developed based on the SY2015-16 data was applied:</w:t>
      </w:r>
    </w:p>
    <w:tbl>
      <w:tblPr>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2136"/>
        <w:gridCol w:w="2136"/>
        <w:gridCol w:w="2136"/>
        <w:gridCol w:w="2137"/>
      </w:tblGrid>
      <w:tr w:rsidR="00CB7D77" w14:paraId="37CF6F01" w14:textId="77777777" w:rsidTr="002F3E1A">
        <w:tc>
          <w:tcPr>
            <w:tcW w:w="805" w:type="dxa"/>
          </w:tcPr>
          <w:p w14:paraId="1B10F5F5" w14:textId="77777777" w:rsidR="00CB7D77" w:rsidRDefault="00CB7D77" w:rsidP="00CB7D77">
            <w:pPr>
              <w:spacing w:before="40" w:after="0"/>
            </w:pPr>
          </w:p>
        </w:tc>
        <w:tc>
          <w:tcPr>
            <w:tcW w:w="2136" w:type="dxa"/>
          </w:tcPr>
          <w:p w14:paraId="74B865C8" w14:textId="77777777" w:rsidR="00CB7D77" w:rsidRDefault="00CB7D77" w:rsidP="00CB7D77">
            <w:pPr>
              <w:spacing w:before="40" w:after="0"/>
              <w:jc w:val="center"/>
            </w:pPr>
            <w:r>
              <w:t>21 points</w:t>
            </w:r>
          </w:p>
        </w:tc>
        <w:tc>
          <w:tcPr>
            <w:tcW w:w="2136" w:type="dxa"/>
          </w:tcPr>
          <w:p w14:paraId="6125A92F" w14:textId="77777777" w:rsidR="00CB7D77" w:rsidRDefault="00CB7D77" w:rsidP="00CB7D77">
            <w:pPr>
              <w:spacing w:before="40" w:after="0"/>
              <w:jc w:val="center"/>
            </w:pPr>
            <w:r>
              <w:t>14 points</w:t>
            </w:r>
          </w:p>
        </w:tc>
        <w:tc>
          <w:tcPr>
            <w:tcW w:w="2136" w:type="dxa"/>
          </w:tcPr>
          <w:p w14:paraId="7CD84FE7" w14:textId="77777777" w:rsidR="00CB7D77" w:rsidRDefault="00CB7D77" w:rsidP="00CB7D77">
            <w:pPr>
              <w:spacing w:before="40" w:after="0"/>
              <w:jc w:val="center"/>
            </w:pPr>
            <w:r>
              <w:t>7 points</w:t>
            </w:r>
          </w:p>
        </w:tc>
        <w:tc>
          <w:tcPr>
            <w:tcW w:w="2137" w:type="dxa"/>
          </w:tcPr>
          <w:p w14:paraId="117E5D56" w14:textId="77777777" w:rsidR="00CB7D77" w:rsidRDefault="00CB7D77" w:rsidP="00CB7D77">
            <w:pPr>
              <w:spacing w:before="40" w:after="0"/>
              <w:jc w:val="center"/>
            </w:pPr>
            <w:r>
              <w:t>0 points</w:t>
            </w:r>
          </w:p>
        </w:tc>
      </w:tr>
      <w:tr w:rsidR="00CB7D77" w14:paraId="0BFA00E0" w14:textId="77777777" w:rsidTr="002F3E1A">
        <w:tc>
          <w:tcPr>
            <w:tcW w:w="805" w:type="dxa"/>
          </w:tcPr>
          <w:p w14:paraId="2BE24D22" w14:textId="77777777" w:rsidR="00CB7D77" w:rsidRDefault="00CB7D77" w:rsidP="00CB7D77">
            <w:pPr>
              <w:spacing w:before="40" w:after="0"/>
            </w:pPr>
            <w:r>
              <w:t>Grad</w:t>
            </w:r>
          </w:p>
        </w:tc>
        <w:tc>
          <w:tcPr>
            <w:tcW w:w="2136" w:type="dxa"/>
          </w:tcPr>
          <w:p w14:paraId="23B5EE0A" w14:textId="77777777" w:rsidR="00CB7D77" w:rsidRDefault="00BA1D80" w:rsidP="00CB7D77">
            <w:pPr>
              <w:spacing w:before="40" w:after="0"/>
              <w:jc w:val="center"/>
            </w:pPr>
            <w:r>
              <w:rPr>
                <w:sz w:val="20"/>
                <w:szCs w:val="20"/>
              </w:rPr>
              <w:t>≥</w:t>
            </w:r>
            <w:r w:rsidR="00CB7D77">
              <w:rPr>
                <w:sz w:val="20"/>
                <w:szCs w:val="20"/>
              </w:rPr>
              <w:t xml:space="preserve"> 90.3%</w:t>
            </w:r>
          </w:p>
        </w:tc>
        <w:tc>
          <w:tcPr>
            <w:tcW w:w="2136" w:type="dxa"/>
          </w:tcPr>
          <w:p w14:paraId="1579C390" w14:textId="77777777" w:rsidR="00CB7D77" w:rsidRDefault="00CB7D77" w:rsidP="00CB7D77">
            <w:pPr>
              <w:spacing w:before="40" w:after="0"/>
              <w:jc w:val="center"/>
            </w:pPr>
            <w:r>
              <w:rPr>
                <w:sz w:val="20"/>
                <w:szCs w:val="20"/>
              </w:rPr>
              <w:t xml:space="preserve">90.3% &gt; Grad </w:t>
            </w:r>
            <w:r w:rsidR="00BA1D80">
              <w:rPr>
                <w:sz w:val="20"/>
                <w:szCs w:val="20"/>
              </w:rPr>
              <w:t>≥</w:t>
            </w:r>
            <w:r>
              <w:rPr>
                <w:sz w:val="20"/>
                <w:szCs w:val="20"/>
              </w:rPr>
              <w:t xml:space="preserve"> 76.8%</w:t>
            </w:r>
          </w:p>
        </w:tc>
        <w:tc>
          <w:tcPr>
            <w:tcW w:w="2136" w:type="dxa"/>
          </w:tcPr>
          <w:p w14:paraId="7B501B30" w14:textId="77777777" w:rsidR="00CB7D77" w:rsidRDefault="00CB7D77" w:rsidP="00CB7D77">
            <w:pPr>
              <w:spacing w:before="40" w:after="0"/>
              <w:jc w:val="center"/>
            </w:pPr>
            <w:r>
              <w:rPr>
                <w:sz w:val="20"/>
                <w:szCs w:val="20"/>
              </w:rPr>
              <w:t xml:space="preserve">76.8% &gt; Grad </w:t>
            </w:r>
            <w:r w:rsidR="00BA1D80">
              <w:rPr>
                <w:sz w:val="20"/>
                <w:szCs w:val="20"/>
              </w:rPr>
              <w:t>≥</w:t>
            </w:r>
            <w:r>
              <w:rPr>
                <w:sz w:val="20"/>
                <w:szCs w:val="20"/>
              </w:rPr>
              <w:t xml:space="preserve"> 62.1</w:t>
            </w:r>
          </w:p>
        </w:tc>
        <w:tc>
          <w:tcPr>
            <w:tcW w:w="2137" w:type="dxa"/>
          </w:tcPr>
          <w:p w14:paraId="4B300343" w14:textId="77777777" w:rsidR="00CB7D77" w:rsidRDefault="00CB7D77" w:rsidP="00CB7D77">
            <w:pPr>
              <w:spacing w:before="40" w:after="0"/>
              <w:jc w:val="center"/>
            </w:pPr>
            <w:r>
              <w:rPr>
                <w:sz w:val="20"/>
                <w:szCs w:val="20"/>
              </w:rPr>
              <w:t>62.1 &gt;</w:t>
            </w:r>
          </w:p>
        </w:tc>
      </w:tr>
    </w:tbl>
    <w:p w14:paraId="11005B8F" w14:textId="77777777" w:rsidR="004D39C7" w:rsidRPr="008F26E5" w:rsidRDefault="004D39C7" w:rsidP="00CB7D77">
      <w:pPr>
        <w:spacing w:after="0"/>
        <w:rPr>
          <w:rStyle w:val="IntenseEmphasis"/>
          <w:i w:val="0"/>
          <w:iCs w:val="0"/>
          <w:color w:val="auto"/>
        </w:rPr>
      </w:pPr>
    </w:p>
    <w:p w14:paraId="55C529AE" w14:textId="7C16EE96" w:rsidR="002D3575" w:rsidRDefault="00240AD6" w:rsidP="002D3575">
      <w:pPr>
        <w:pStyle w:val="Heading4"/>
        <w:spacing w:before="0"/>
      </w:pPr>
      <w:r>
        <w:t>IEP Dropout Exiter Rate</w:t>
      </w:r>
      <w:r w:rsidR="00AC167B">
        <w:t xml:space="preserve"> (Indicator 2)</w:t>
      </w:r>
    </w:p>
    <w:p w14:paraId="07DCE2EA" w14:textId="149A0F13" w:rsidR="002D3575" w:rsidRDefault="00240AD6" w:rsidP="002D3575">
      <w:pPr>
        <w:spacing w:after="0"/>
      </w:pPr>
      <w:r>
        <w:t>IEP Dropout Exiter Rate</w:t>
      </w:r>
      <w:r w:rsidR="002D3575">
        <w:t xml:space="preserve"> </w:t>
      </w:r>
      <w:r>
        <w:t>was</w:t>
      </w:r>
      <w:r w:rsidR="002D3575">
        <w:t xml:space="preserve"> calculated based on the Special Education End of Year data collection. Students who were between the ages of 14 and 21 were included in the calculation. The numerator was the number of students who </w:t>
      </w:r>
      <w:r>
        <w:t xml:space="preserve">exited from schools due to </w:t>
      </w:r>
      <w:r w:rsidR="002D3575">
        <w:t xml:space="preserve">dropped out, and the denominator included students who </w:t>
      </w:r>
      <w:r>
        <w:t xml:space="preserve">exited from schools due to </w:t>
      </w:r>
      <w:r w:rsidR="002D3575">
        <w:t>graduat</w:t>
      </w:r>
      <w:r>
        <w:t>ing</w:t>
      </w:r>
      <w:r w:rsidR="002D3575">
        <w:t xml:space="preserve"> with a regular high school diploma, recei</w:t>
      </w:r>
      <w:r>
        <w:t>ving</w:t>
      </w:r>
      <w:r w:rsidR="002D3575">
        <w:t xml:space="preserve"> a graduation certificate, reach</w:t>
      </w:r>
      <w:r>
        <w:t>ing</w:t>
      </w:r>
      <w:r w:rsidR="002D3575">
        <w:t xml:space="preserve"> the maximum age, </w:t>
      </w:r>
      <w:r>
        <w:t>being deceased, and dropping</w:t>
      </w:r>
      <w:r w:rsidR="002D3575">
        <w:t xml:space="preserve"> out. When students received GEDs upon completion of a GED preparation program offered by their home district, they were counted as a non-dropout (this does not count toward graduation rate, but it does </w:t>
      </w:r>
      <w:r w:rsidR="002D3575">
        <w:rPr>
          <w:b/>
        </w:rPr>
        <w:t>not</w:t>
      </w:r>
      <w:r w:rsidR="002D3575">
        <w:t xml:space="preserve"> count as a dropout</w:t>
      </w:r>
      <w:r>
        <w:t xml:space="preserve"> either</w:t>
      </w:r>
      <w:r w:rsidR="002D3575">
        <w:t xml:space="preserve">). Alternatively, when students received GEDs from a program not offered by their home district, they were counted as a dropout by their home district. </w:t>
      </w:r>
      <w:r w:rsidR="00BA1D80">
        <w:t xml:space="preserve">The </w:t>
      </w:r>
      <w:r>
        <w:t>IEP Dropout Exiter Rate</w:t>
      </w:r>
      <w:r w:rsidR="00BA1D80">
        <w:t xml:space="preserve"> was </w:t>
      </w:r>
      <w:r w:rsidR="00BA1D80">
        <w:lastRenderedPageBreak/>
        <w:t xml:space="preserve">assigned a possible eligible points of 42. </w:t>
      </w:r>
      <w:r>
        <w:t>Based on the scoring method discussed under “Common Calculation Rules” above, the following rubric developed based on the SY2015-16 data was applied:</w:t>
      </w:r>
    </w:p>
    <w:tbl>
      <w:tblPr>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2136"/>
        <w:gridCol w:w="2136"/>
        <w:gridCol w:w="2136"/>
        <w:gridCol w:w="2137"/>
      </w:tblGrid>
      <w:tr w:rsidR="002D3575" w14:paraId="73526828" w14:textId="77777777" w:rsidTr="002F3E1A">
        <w:tc>
          <w:tcPr>
            <w:tcW w:w="805" w:type="dxa"/>
          </w:tcPr>
          <w:p w14:paraId="3FF9D14C" w14:textId="77777777" w:rsidR="002D3575" w:rsidRDefault="002D3575" w:rsidP="002D3575">
            <w:pPr>
              <w:spacing w:after="0"/>
            </w:pPr>
          </w:p>
        </w:tc>
        <w:tc>
          <w:tcPr>
            <w:tcW w:w="2136" w:type="dxa"/>
          </w:tcPr>
          <w:p w14:paraId="6DDF237A" w14:textId="77777777" w:rsidR="002D3575" w:rsidRDefault="00E71D2C" w:rsidP="002D3575">
            <w:pPr>
              <w:spacing w:after="0"/>
              <w:jc w:val="center"/>
            </w:pPr>
            <w:r>
              <w:t>42 points</w:t>
            </w:r>
          </w:p>
        </w:tc>
        <w:tc>
          <w:tcPr>
            <w:tcW w:w="2136" w:type="dxa"/>
          </w:tcPr>
          <w:p w14:paraId="2460FB7A" w14:textId="77777777" w:rsidR="002D3575" w:rsidRDefault="00E71D2C" w:rsidP="002D3575">
            <w:pPr>
              <w:spacing w:after="0"/>
              <w:jc w:val="center"/>
            </w:pPr>
            <w:r>
              <w:t>28 points</w:t>
            </w:r>
          </w:p>
        </w:tc>
        <w:tc>
          <w:tcPr>
            <w:tcW w:w="2136" w:type="dxa"/>
          </w:tcPr>
          <w:p w14:paraId="379C5069" w14:textId="77777777" w:rsidR="002D3575" w:rsidRDefault="00E71D2C" w:rsidP="002D3575">
            <w:pPr>
              <w:spacing w:after="0"/>
              <w:jc w:val="center"/>
            </w:pPr>
            <w:r>
              <w:t>14 points</w:t>
            </w:r>
          </w:p>
        </w:tc>
        <w:tc>
          <w:tcPr>
            <w:tcW w:w="2137" w:type="dxa"/>
          </w:tcPr>
          <w:p w14:paraId="02C5A4DD" w14:textId="77777777" w:rsidR="002D3575" w:rsidRDefault="00E71D2C" w:rsidP="002D3575">
            <w:pPr>
              <w:spacing w:after="0"/>
              <w:jc w:val="center"/>
            </w:pPr>
            <w:r>
              <w:t>0 points</w:t>
            </w:r>
          </w:p>
        </w:tc>
      </w:tr>
      <w:tr w:rsidR="002D3575" w14:paraId="7FF78AE1" w14:textId="77777777" w:rsidTr="002F3E1A">
        <w:tc>
          <w:tcPr>
            <w:tcW w:w="805" w:type="dxa"/>
          </w:tcPr>
          <w:p w14:paraId="3B72B760" w14:textId="77777777" w:rsidR="002D3575" w:rsidRDefault="002D3575" w:rsidP="002D3575">
            <w:pPr>
              <w:spacing w:after="0"/>
            </w:pPr>
            <w:r>
              <w:t>Drop</w:t>
            </w:r>
          </w:p>
        </w:tc>
        <w:tc>
          <w:tcPr>
            <w:tcW w:w="2136" w:type="dxa"/>
          </w:tcPr>
          <w:p w14:paraId="3AF1BD8F" w14:textId="77777777" w:rsidR="002D3575" w:rsidRDefault="00E71D2C" w:rsidP="00E71D2C">
            <w:pPr>
              <w:spacing w:after="0"/>
              <w:jc w:val="center"/>
            </w:pPr>
            <w:r>
              <w:rPr>
                <w:rStyle w:val="IntenseEmphasis"/>
                <w:i w:val="0"/>
                <w:iCs w:val="0"/>
                <w:color w:val="auto"/>
              </w:rPr>
              <w:t>≤</w:t>
            </w:r>
            <w:r w:rsidR="002D3575">
              <w:rPr>
                <w:sz w:val="20"/>
                <w:szCs w:val="20"/>
              </w:rPr>
              <w:t xml:space="preserve"> 6.5%</w:t>
            </w:r>
          </w:p>
        </w:tc>
        <w:tc>
          <w:tcPr>
            <w:tcW w:w="2136" w:type="dxa"/>
          </w:tcPr>
          <w:p w14:paraId="6701EF10" w14:textId="77777777" w:rsidR="002D3575" w:rsidRDefault="002D3575" w:rsidP="00E71D2C">
            <w:pPr>
              <w:spacing w:after="0"/>
              <w:jc w:val="center"/>
            </w:pPr>
            <w:r>
              <w:rPr>
                <w:sz w:val="20"/>
                <w:szCs w:val="20"/>
              </w:rPr>
              <w:t>6</w:t>
            </w:r>
            <w:r w:rsidR="00E71D2C">
              <w:rPr>
                <w:sz w:val="20"/>
                <w:szCs w:val="20"/>
              </w:rPr>
              <w:t xml:space="preserve">.5% &lt; Drop </w:t>
            </w:r>
            <w:r w:rsidR="00E71D2C">
              <w:rPr>
                <w:rStyle w:val="IntenseEmphasis"/>
                <w:i w:val="0"/>
                <w:iCs w:val="0"/>
                <w:color w:val="auto"/>
              </w:rPr>
              <w:t>≤</w:t>
            </w:r>
            <w:r>
              <w:rPr>
                <w:sz w:val="20"/>
                <w:szCs w:val="20"/>
              </w:rPr>
              <w:t xml:space="preserve"> 19%</w:t>
            </w:r>
          </w:p>
        </w:tc>
        <w:tc>
          <w:tcPr>
            <w:tcW w:w="2136" w:type="dxa"/>
          </w:tcPr>
          <w:p w14:paraId="503D2A07" w14:textId="77777777" w:rsidR="002D3575" w:rsidRDefault="002D3575" w:rsidP="00E71D2C">
            <w:pPr>
              <w:spacing w:after="0"/>
            </w:pPr>
            <w:r>
              <w:rPr>
                <w:sz w:val="20"/>
                <w:szCs w:val="20"/>
              </w:rPr>
              <w:t xml:space="preserve">19% &lt; Drop </w:t>
            </w:r>
            <w:r w:rsidR="00E71D2C">
              <w:rPr>
                <w:rStyle w:val="IntenseEmphasis"/>
                <w:i w:val="0"/>
                <w:iCs w:val="0"/>
                <w:color w:val="auto"/>
              </w:rPr>
              <w:t>≤</w:t>
            </w:r>
            <w:r>
              <w:rPr>
                <w:sz w:val="20"/>
                <w:szCs w:val="20"/>
              </w:rPr>
              <w:t xml:space="preserve"> 34.2%</w:t>
            </w:r>
          </w:p>
        </w:tc>
        <w:tc>
          <w:tcPr>
            <w:tcW w:w="2137" w:type="dxa"/>
          </w:tcPr>
          <w:p w14:paraId="558239FD" w14:textId="77777777" w:rsidR="002D3575" w:rsidRDefault="002D3575" w:rsidP="002D3575">
            <w:pPr>
              <w:spacing w:after="0"/>
              <w:jc w:val="center"/>
            </w:pPr>
            <w:r>
              <w:rPr>
                <w:sz w:val="20"/>
                <w:szCs w:val="20"/>
              </w:rPr>
              <w:t xml:space="preserve">34.2% &lt; </w:t>
            </w:r>
          </w:p>
        </w:tc>
      </w:tr>
    </w:tbl>
    <w:p w14:paraId="5697D020" w14:textId="77777777" w:rsidR="00CB7D77" w:rsidRDefault="00CB7D77" w:rsidP="002D3575">
      <w:pPr>
        <w:spacing w:after="0"/>
        <w:rPr>
          <w:rStyle w:val="IntenseEmphasis"/>
          <w:i w:val="0"/>
          <w:iCs w:val="0"/>
          <w:color w:val="auto"/>
        </w:rPr>
      </w:pPr>
    </w:p>
    <w:p w14:paraId="1918352B" w14:textId="77777777" w:rsidR="00E71D2C" w:rsidRDefault="00E71D2C" w:rsidP="00E71D2C">
      <w:pPr>
        <w:pStyle w:val="Heading4"/>
        <w:spacing w:before="0"/>
      </w:pPr>
      <w:r>
        <w:t>Post-School Outcomes</w:t>
      </w:r>
      <w:r w:rsidR="00AC167B">
        <w:t xml:space="preserve"> (Indicator 14)</w:t>
      </w:r>
    </w:p>
    <w:p w14:paraId="50BC686B" w14:textId="4A2916F4" w:rsidR="00E71D2C" w:rsidRDefault="00E71D2C" w:rsidP="00E71D2C">
      <w:pPr>
        <w:spacing w:after="0"/>
      </w:pPr>
      <w:r>
        <w:t xml:space="preserve">Post-school outcomes were based on the results of the annual post-school outcome interviews conducted by the AUs. Attempted rate indicated the percent of students whom the AU attempted to call among all students who were selected for the post-school outcome interviews. AUs with a 100% Attempt rate received </w:t>
      </w:r>
      <w:r w:rsidR="00BA1D80">
        <w:t>6</w:t>
      </w:r>
      <w:r>
        <w:t xml:space="preserve"> point</w:t>
      </w:r>
      <w:r w:rsidR="00BA1D80">
        <w:t>s</w:t>
      </w:r>
      <w:r>
        <w:t xml:space="preserve">. AUs with less than a 100% Attempt rate received 0 points. Participation rate indicated the percent of students who participated in the interview among all students whom the AU successfully reached. AUs with a participation rate of equal to or greater than 60% received </w:t>
      </w:r>
      <w:r w:rsidR="00BA1D80">
        <w:t>6</w:t>
      </w:r>
      <w:r>
        <w:t xml:space="preserve"> point</w:t>
      </w:r>
      <w:r w:rsidR="00BA1D80">
        <w:t>s</w:t>
      </w:r>
      <w:r>
        <w:t>. AUs with less than a 60% participation rate received 0 points.</w:t>
      </w:r>
      <w:r w:rsidR="00BA1D80">
        <w:t xml:space="preserve"> </w:t>
      </w:r>
      <w:r>
        <w:t>Outcome rate indicat</w:t>
      </w:r>
      <w:r w:rsidR="003E0DA1">
        <w:t>ed the percent of students who we</w:t>
      </w:r>
      <w:r>
        <w:t xml:space="preserve">re considered as any of the following among those who participated in the interview: enrolled in higher education, enrolled in some other post-secondary education or training program, competitively employed, or in some other employment. </w:t>
      </w:r>
      <w:r w:rsidR="00BA1D80">
        <w:t xml:space="preserve">The outcome rate was assigned a possible eligible points of 30. </w:t>
      </w:r>
      <w:r w:rsidR="003E0DA1">
        <w:t>Based on the scoring method discussed under “Common Calculation Rules” above, the following rubric developed based on the SY2015-16 data was applied:</w:t>
      </w:r>
    </w:p>
    <w:tbl>
      <w:tblPr>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0"/>
        <w:gridCol w:w="1530"/>
        <w:gridCol w:w="2476"/>
        <w:gridCol w:w="2384"/>
        <w:gridCol w:w="1770"/>
      </w:tblGrid>
      <w:tr w:rsidR="00E71D2C" w14:paraId="7FAD9579" w14:textId="77777777" w:rsidTr="00BA1D80">
        <w:tc>
          <w:tcPr>
            <w:tcW w:w="1190" w:type="dxa"/>
          </w:tcPr>
          <w:p w14:paraId="66FEBABE" w14:textId="77777777" w:rsidR="00E71D2C" w:rsidRDefault="00E71D2C" w:rsidP="00E71D2C">
            <w:pPr>
              <w:spacing w:after="0"/>
            </w:pPr>
          </w:p>
        </w:tc>
        <w:tc>
          <w:tcPr>
            <w:tcW w:w="1530" w:type="dxa"/>
          </w:tcPr>
          <w:p w14:paraId="554EFE1D" w14:textId="77777777" w:rsidR="00E71D2C" w:rsidRDefault="00BA1D80" w:rsidP="00E71D2C">
            <w:pPr>
              <w:spacing w:after="0"/>
              <w:jc w:val="center"/>
            </w:pPr>
            <w:r>
              <w:t>30 points</w:t>
            </w:r>
          </w:p>
        </w:tc>
        <w:tc>
          <w:tcPr>
            <w:tcW w:w="2476" w:type="dxa"/>
          </w:tcPr>
          <w:p w14:paraId="52777860" w14:textId="77777777" w:rsidR="00E71D2C" w:rsidRDefault="00BA1D80" w:rsidP="00E71D2C">
            <w:pPr>
              <w:spacing w:after="0"/>
              <w:jc w:val="center"/>
            </w:pPr>
            <w:r>
              <w:t>20 points</w:t>
            </w:r>
          </w:p>
        </w:tc>
        <w:tc>
          <w:tcPr>
            <w:tcW w:w="2384" w:type="dxa"/>
          </w:tcPr>
          <w:p w14:paraId="4C51CC8C" w14:textId="77777777" w:rsidR="00E71D2C" w:rsidRDefault="00BA1D80" w:rsidP="00E71D2C">
            <w:pPr>
              <w:spacing w:after="0"/>
              <w:jc w:val="center"/>
            </w:pPr>
            <w:r>
              <w:t>10 points</w:t>
            </w:r>
          </w:p>
        </w:tc>
        <w:tc>
          <w:tcPr>
            <w:tcW w:w="1770" w:type="dxa"/>
          </w:tcPr>
          <w:p w14:paraId="7920F03F" w14:textId="77777777" w:rsidR="00E71D2C" w:rsidRDefault="00BA1D80" w:rsidP="00E71D2C">
            <w:pPr>
              <w:spacing w:after="0"/>
              <w:jc w:val="center"/>
            </w:pPr>
            <w:r>
              <w:t>0 points</w:t>
            </w:r>
          </w:p>
        </w:tc>
      </w:tr>
      <w:tr w:rsidR="00E71D2C" w14:paraId="3CADF2EC" w14:textId="77777777" w:rsidTr="00BA1D80">
        <w:tc>
          <w:tcPr>
            <w:tcW w:w="1190" w:type="dxa"/>
          </w:tcPr>
          <w:p w14:paraId="414C3513" w14:textId="77777777" w:rsidR="00E71D2C" w:rsidRDefault="00E71D2C" w:rsidP="00E71D2C">
            <w:pPr>
              <w:spacing w:after="0"/>
            </w:pPr>
            <w:r>
              <w:t>Outcome</w:t>
            </w:r>
          </w:p>
        </w:tc>
        <w:tc>
          <w:tcPr>
            <w:tcW w:w="1530" w:type="dxa"/>
          </w:tcPr>
          <w:p w14:paraId="239CE5F5" w14:textId="77777777" w:rsidR="00E71D2C" w:rsidRDefault="00BA1D80" w:rsidP="00E71D2C">
            <w:pPr>
              <w:spacing w:after="0"/>
              <w:jc w:val="center"/>
            </w:pPr>
            <w:r>
              <w:rPr>
                <w:sz w:val="21"/>
                <w:szCs w:val="21"/>
              </w:rPr>
              <w:t>≥</w:t>
            </w:r>
            <w:r w:rsidR="00E71D2C">
              <w:rPr>
                <w:sz w:val="21"/>
                <w:szCs w:val="21"/>
              </w:rPr>
              <w:t>91.5%</w:t>
            </w:r>
          </w:p>
        </w:tc>
        <w:tc>
          <w:tcPr>
            <w:tcW w:w="2476" w:type="dxa"/>
          </w:tcPr>
          <w:p w14:paraId="552EA97E" w14:textId="77777777" w:rsidR="00E71D2C" w:rsidRDefault="00E71D2C" w:rsidP="00E71D2C">
            <w:pPr>
              <w:spacing w:after="0"/>
              <w:jc w:val="center"/>
            </w:pPr>
            <w:r>
              <w:rPr>
                <w:sz w:val="21"/>
                <w:szCs w:val="21"/>
              </w:rPr>
              <w:t xml:space="preserve">91.5% &gt; Outcome </w:t>
            </w:r>
            <w:r w:rsidR="00BA1D80">
              <w:rPr>
                <w:sz w:val="21"/>
                <w:szCs w:val="21"/>
              </w:rPr>
              <w:t>≥</w:t>
            </w:r>
            <w:r>
              <w:rPr>
                <w:sz w:val="21"/>
                <w:szCs w:val="21"/>
              </w:rPr>
              <w:t xml:space="preserve"> 75.3%</w:t>
            </w:r>
          </w:p>
        </w:tc>
        <w:tc>
          <w:tcPr>
            <w:tcW w:w="2384" w:type="dxa"/>
          </w:tcPr>
          <w:p w14:paraId="7A29172B" w14:textId="77777777" w:rsidR="00E71D2C" w:rsidRDefault="00E71D2C" w:rsidP="00E71D2C">
            <w:pPr>
              <w:spacing w:after="0"/>
              <w:jc w:val="center"/>
            </w:pPr>
            <w:r>
              <w:rPr>
                <w:sz w:val="21"/>
                <w:szCs w:val="21"/>
              </w:rPr>
              <w:t xml:space="preserve">75.3% &gt; Outcome </w:t>
            </w:r>
            <w:r w:rsidR="00BA1D80">
              <w:rPr>
                <w:sz w:val="21"/>
                <w:szCs w:val="21"/>
              </w:rPr>
              <w:t>≥</w:t>
            </w:r>
            <w:r>
              <w:rPr>
                <w:sz w:val="21"/>
                <w:szCs w:val="21"/>
              </w:rPr>
              <w:t xml:space="preserve"> 59.8</w:t>
            </w:r>
          </w:p>
        </w:tc>
        <w:tc>
          <w:tcPr>
            <w:tcW w:w="1770" w:type="dxa"/>
          </w:tcPr>
          <w:p w14:paraId="156AC901" w14:textId="77777777" w:rsidR="00E71D2C" w:rsidRDefault="00E71D2C" w:rsidP="00E71D2C">
            <w:pPr>
              <w:spacing w:after="0"/>
              <w:jc w:val="center"/>
            </w:pPr>
            <w:r>
              <w:rPr>
                <w:sz w:val="21"/>
                <w:szCs w:val="21"/>
              </w:rPr>
              <w:t>59.8 &gt;</w:t>
            </w:r>
          </w:p>
        </w:tc>
      </w:tr>
    </w:tbl>
    <w:p w14:paraId="784D0D1D" w14:textId="77777777" w:rsidR="008E4642" w:rsidRDefault="008E4642" w:rsidP="008E4642">
      <w:pPr>
        <w:pStyle w:val="Heading2"/>
      </w:pPr>
    </w:p>
    <w:p w14:paraId="3EFD1961" w14:textId="77777777" w:rsidR="008E4642" w:rsidRDefault="008E4642" w:rsidP="008E4642">
      <w:pPr>
        <w:pStyle w:val="Heading2"/>
      </w:pPr>
      <w:r>
        <w:t>Results Determination</w:t>
      </w:r>
    </w:p>
    <w:p w14:paraId="0EC38438" w14:textId="2C4BB842" w:rsidR="008E4642" w:rsidRDefault="008E4642" w:rsidP="00F10EC0">
      <w:pPr>
        <w:spacing w:after="0" w:line="240" w:lineRule="auto"/>
        <w:ind w:right="416"/>
      </w:pPr>
      <w:r>
        <w:t>A Results Determination was</w:t>
      </w:r>
      <w:r w:rsidR="004C1E02">
        <w:t xml:space="preserve"> made based on the Results Score</w:t>
      </w:r>
      <w:r w:rsidR="00F10EC0">
        <w:t xml:space="preserve">. The </w:t>
      </w:r>
      <w:r w:rsidR="004C1E02">
        <w:t>subsections of Academic Achievement, Academic Growth, Postsecondary and Workforce Readiness are worth 45 points, 150 points, and 105 points respectively</w:t>
      </w:r>
      <w:r w:rsidR="00F10EC0">
        <w:t>, thus the total Results Score is 300</w:t>
      </w:r>
      <w:r w:rsidR="004C1E02">
        <w:t>. When an AU</w:t>
      </w:r>
      <w:r w:rsidR="00F10EC0">
        <w:t>’s</w:t>
      </w:r>
      <w:r w:rsidR="004C1E02">
        <w:t xml:space="preserve"> total eligible points </w:t>
      </w:r>
      <w:r w:rsidR="00F10EC0">
        <w:t xml:space="preserve">for a specific subsection </w:t>
      </w:r>
      <w:r w:rsidR="004C1E02">
        <w:t>was less than the points allocated for the sub</w:t>
      </w:r>
      <w:r w:rsidR="00F10EC0">
        <w:t>section</w:t>
      </w:r>
      <w:r w:rsidR="004C1E02">
        <w:t>, the AU’</w:t>
      </w:r>
      <w:r w:rsidR="00F10EC0">
        <w:t>s earned points were adjusted accordingly before being summed with the rest of the subsections</w:t>
      </w:r>
      <w:r w:rsidR="004C1E02">
        <w:t xml:space="preserve">. For example, if an AU’s total </w:t>
      </w:r>
      <w:r w:rsidR="00F10EC0">
        <w:t>earned</w:t>
      </w:r>
      <w:r w:rsidR="004C1E02">
        <w:t xml:space="preserve"> points for the Academic Achievement subsection was 30.5 </w:t>
      </w:r>
      <w:r w:rsidR="00F10EC0">
        <w:t>and the total eligible points was 33, the AU’s Academic Achievement points was</w:t>
      </w:r>
      <w:r w:rsidR="004C1E02">
        <w:t xml:space="preserve"> adjusted to 41.59 out of 45</w:t>
      </w:r>
      <w:r w:rsidR="00F10EC0">
        <w:t xml:space="preserve"> before it was summed with the rest of the subsections</w:t>
      </w:r>
      <w:r w:rsidR="004C1E02">
        <w:t xml:space="preserve">. The points </w:t>
      </w:r>
      <w:r w:rsidR="00F10EC0">
        <w:t>were</w:t>
      </w:r>
      <w:r w:rsidR="004C1E02">
        <w:t xml:space="preserve"> rounded to the </w:t>
      </w:r>
      <w:r w:rsidR="003E0DA1">
        <w:t xml:space="preserve">first </w:t>
      </w:r>
      <w:r w:rsidR="004C1E02">
        <w:t xml:space="preserve">dismal points when </w:t>
      </w:r>
      <w:r w:rsidR="00F10EC0">
        <w:t>such</w:t>
      </w:r>
      <w:r w:rsidR="004C1E02">
        <w:t xml:space="preserve"> adjustment</w:t>
      </w:r>
      <w:r w:rsidR="00F10EC0">
        <w:t xml:space="preserve"> was applied</w:t>
      </w:r>
      <w:r w:rsidR="004C1E02">
        <w:t xml:space="preserve">. </w:t>
      </w:r>
      <w:r>
        <w:t>The following rubric was applied to the AUs’ Results Scores:</w:t>
      </w:r>
    </w:p>
    <w:p w14:paraId="7DB413FC" w14:textId="77777777" w:rsidR="008E4642" w:rsidRPr="00F10EC0" w:rsidRDefault="008E4642" w:rsidP="008E4642">
      <w:pPr>
        <w:numPr>
          <w:ilvl w:val="0"/>
          <w:numId w:val="6"/>
        </w:numPr>
        <w:spacing w:after="0" w:line="240" w:lineRule="auto"/>
        <w:ind w:hanging="360"/>
        <w:contextualSpacing/>
      </w:pPr>
      <w:r w:rsidRPr="00F10EC0">
        <w:t xml:space="preserve">Meets Requirement:   Results Score </w:t>
      </w:r>
      <w:r w:rsidR="00C0579B">
        <w:rPr>
          <w:sz w:val="21"/>
          <w:szCs w:val="21"/>
        </w:rPr>
        <w:t>≥</w:t>
      </w:r>
      <w:r w:rsidRPr="00F10EC0">
        <w:t xml:space="preserve"> </w:t>
      </w:r>
      <w:r w:rsidR="00C0579B">
        <w:t>170 points</w:t>
      </w:r>
    </w:p>
    <w:p w14:paraId="006F9ADE" w14:textId="77777777" w:rsidR="008E4642" w:rsidRPr="00F10EC0" w:rsidRDefault="008E4642" w:rsidP="008E4642">
      <w:pPr>
        <w:numPr>
          <w:ilvl w:val="0"/>
          <w:numId w:val="6"/>
        </w:numPr>
        <w:spacing w:after="0" w:line="240" w:lineRule="auto"/>
        <w:ind w:hanging="360"/>
        <w:contextualSpacing/>
      </w:pPr>
      <w:r w:rsidRPr="00F10EC0">
        <w:t xml:space="preserve">Needs Assistance:   </w:t>
      </w:r>
      <w:r w:rsidR="00C0579B">
        <w:t xml:space="preserve">170 points </w:t>
      </w:r>
      <w:r w:rsidRPr="00F10EC0">
        <w:t xml:space="preserve">&gt; Results Score </w:t>
      </w:r>
      <w:r w:rsidR="00C0579B">
        <w:rPr>
          <w:sz w:val="21"/>
          <w:szCs w:val="21"/>
        </w:rPr>
        <w:t>≥ 110 points</w:t>
      </w:r>
    </w:p>
    <w:p w14:paraId="5494F4EA" w14:textId="77777777" w:rsidR="00E71D2C" w:rsidRDefault="008E4642" w:rsidP="00C14154">
      <w:pPr>
        <w:numPr>
          <w:ilvl w:val="0"/>
          <w:numId w:val="6"/>
        </w:numPr>
        <w:spacing w:after="0" w:line="240" w:lineRule="auto"/>
        <w:ind w:hanging="360"/>
        <w:contextualSpacing/>
      </w:pPr>
      <w:r w:rsidRPr="00F10EC0">
        <w:t>Needs Intervention: Results Score &lt;</w:t>
      </w:r>
      <w:r w:rsidR="00C0579B">
        <w:t xml:space="preserve"> 110 points</w:t>
      </w:r>
    </w:p>
    <w:p w14:paraId="71848CAC" w14:textId="77777777" w:rsidR="00DA7209" w:rsidRDefault="00DA7209" w:rsidP="00DA7209">
      <w:pPr>
        <w:spacing w:after="0" w:line="240" w:lineRule="auto"/>
        <w:contextualSpacing/>
      </w:pPr>
    </w:p>
    <w:p w14:paraId="05159BB9" w14:textId="77777777" w:rsidR="00DA7209" w:rsidRDefault="00DA7209" w:rsidP="00DA7209">
      <w:pPr>
        <w:spacing w:after="0" w:line="240" w:lineRule="auto"/>
        <w:contextualSpacing/>
      </w:pPr>
    </w:p>
    <w:p w14:paraId="2903B7CA" w14:textId="77777777" w:rsidR="00DA7209" w:rsidRDefault="00DA7209">
      <w:r>
        <w:br w:type="page"/>
      </w:r>
    </w:p>
    <w:p w14:paraId="0EAE80F9" w14:textId="77777777" w:rsidR="00DA7209" w:rsidRDefault="00DA7209" w:rsidP="00AC167B">
      <w:pPr>
        <w:pStyle w:val="Heading1"/>
        <w:spacing w:before="0"/>
      </w:pPr>
      <w:r>
        <w:lastRenderedPageBreak/>
        <w:t>SPECIAL CONDITIONS</w:t>
      </w:r>
    </w:p>
    <w:p w14:paraId="579699F6" w14:textId="0168207A" w:rsidR="00DA7209" w:rsidRDefault="00DA7209" w:rsidP="00AC167B">
      <w:pPr>
        <w:spacing w:after="0"/>
      </w:pPr>
      <w:r w:rsidRPr="0093031E">
        <w:t xml:space="preserve">Special Conditions include issues related to the AUs’ compliance with the IDEA. These issues determine the level of the AU’s RDA Determination independent of their Compliance Score or Results Score. For example, non-timely compliance with the remedies issued in a state complaint would lower the level of RDA Determination by one level from what would otherwise be based on the Compliance and Results Scores (e.g., Meets Requirement becomes Needs Assistance). A long-standing non-compliance as determined by the types of findings in state complaints for two or more consecutive years would result in the RDA Determination of Needs Intervention. Similarly, findings in the </w:t>
      </w:r>
      <w:r w:rsidR="0093031E" w:rsidRPr="0093031E">
        <w:t xml:space="preserve">unresolved </w:t>
      </w:r>
      <w:r w:rsidRPr="0093031E">
        <w:t>fiscal single audit would lower the level of RDA Determination by one level from what would otherwise be based on the Compliance and Results Scores, and the findings for more</w:t>
      </w:r>
      <w:r w:rsidR="00B36171">
        <w:t xml:space="preserve"> than two</w:t>
      </w:r>
      <w:r w:rsidRPr="0093031E">
        <w:t xml:space="preserve"> consecutive years would result in the RDA Determination of Needs Intervention. The issue and its corresponding appropriate RDA Determination would be determined on an as-needed basis.</w:t>
      </w:r>
    </w:p>
    <w:p w14:paraId="479D5379" w14:textId="77777777" w:rsidR="00A418B4" w:rsidRDefault="00A418B4" w:rsidP="00A418B4">
      <w:pPr>
        <w:pStyle w:val="Heading1"/>
      </w:pPr>
    </w:p>
    <w:p w14:paraId="79983261" w14:textId="77777777" w:rsidR="00A418B4" w:rsidRDefault="00A418B4" w:rsidP="00A418B4">
      <w:pPr>
        <w:pStyle w:val="Heading1"/>
      </w:pPr>
    </w:p>
    <w:p w14:paraId="5ED1A2E1" w14:textId="77777777" w:rsidR="00A418B4" w:rsidRDefault="00A418B4" w:rsidP="00AC167B">
      <w:pPr>
        <w:pStyle w:val="Heading1"/>
        <w:spacing w:before="0"/>
      </w:pPr>
      <w:r>
        <w:t>AU PERCENTAGE AND AU DETERMINATION</w:t>
      </w:r>
    </w:p>
    <w:p w14:paraId="2B628474" w14:textId="7F50285D" w:rsidR="00A418B4" w:rsidRPr="00A418B4" w:rsidRDefault="00A418B4" w:rsidP="00AC167B">
      <w:r>
        <w:t xml:space="preserve">An AU Percentage was determined based on the Compliance Score and the Results Score. The </w:t>
      </w:r>
      <w:r w:rsidRPr="00A418B4">
        <w:t>Compliance Score was weighted at 75%</w:t>
      </w:r>
      <w:r w:rsidRPr="00A418B4">
        <w:rPr>
          <w:b/>
        </w:rPr>
        <w:t xml:space="preserve"> </w:t>
      </w:r>
      <w:r w:rsidRPr="00A418B4">
        <w:t xml:space="preserve">and the Results Score </w:t>
      </w:r>
      <w:r w:rsidR="00B36171">
        <w:t>wa</w:t>
      </w:r>
      <w:r w:rsidRPr="00A418B4">
        <w:t>s weighted at 25% to calculate the AU Percentage for the 201</w:t>
      </w:r>
      <w:r w:rsidR="00B36171">
        <w:t>8</w:t>
      </w:r>
      <w:r w:rsidRPr="00A418B4">
        <w:t xml:space="preserve"> AU Determination unless specified otherwise due to Special Conditions. The AU Determination is the official and final determination that ESSU uses to fulfill the federal reporting requirements under Section 618 of the IDEA. The following rubric was applied to the AU Percentages to make the AU Determinations:</w:t>
      </w:r>
    </w:p>
    <w:p w14:paraId="7D80337F" w14:textId="77777777" w:rsidR="00A418B4" w:rsidRPr="00A418B4" w:rsidRDefault="00A418B4" w:rsidP="00A418B4">
      <w:pPr>
        <w:numPr>
          <w:ilvl w:val="0"/>
          <w:numId w:val="6"/>
        </w:numPr>
        <w:spacing w:after="0" w:line="240" w:lineRule="auto"/>
        <w:ind w:hanging="360"/>
        <w:contextualSpacing/>
      </w:pPr>
      <w:r w:rsidRPr="00A418B4">
        <w:t>Meets Requirement:   AU Percentage ≥ 81%</w:t>
      </w:r>
    </w:p>
    <w:p w14:paraId="3A449BC7" w14:textId="77777777" w:rsidR="00A418B4" w:rsidRPr="00A418B4" w:rsidRDefault="00A418B4" w:rsidP="00A418B4">
      <w:pPr>
        <w:numPr>
          <w:ilvl w:val="0"/>
          <w:numId w:val="6"/>
        </w:numPr>
        <w:spacing w:after="0" w:line="240" w:lineRule="auto"/>
        <w:ind w:hanging="360"/>
        <w:contextualSpacing/>
      </w:pPr>
      <w:r w:rsidRPr="00A418B4">
        <w:t>Needs Assistance:   81%&gt; AU Percentage ≥ 69%</w:t>
      </w:r>
    </w:p>
    <w:p w14:paraId="7518F8E2" w14:textId="77777777" w:rsidR="00A418B4" w:rsidRPr="00A418B4" w:rsidRDefault="00A418B4" w:rsidP="00A418B4">
      <w:pPr>
        <w:numPr>
          <w:ilvl w:val="0"/>
          <w:numId w:val="6"/>
        </w:numPr>
        <w:spacing w:after="0" w:line="240" w:lineRule="auto"/>
        <w:ind w:hanging="360"/>
        <w:contextualSpacing/>
      </w:pPr>
      <w:r w:rsidRPr="00A418B4">
        <w:t>Needs Intervention:   AU Percentage &lt;69%</w:t>
      </w:r>
    </w:p>
    <w:p w14:paraId="5A10DCE7" w14:textId="77777777" w:rsidR="00DA7209" w:rsidRPr="00C0579B" w:rsidRDefault="00DA7209" w:rsidP="00DA7209">
      <w:pPr>
        <w:spacing w:after="0" w:line="240" w:lineRule="auto"/>
        <w:contextualSpacing/>
        <w:rPr>
          <w:rStyle w:val="IntenseEmphasis"/>
          <w:i w:val="0"/>
          <w:iCs w:val="0"/>
          <w:color w:val="auto"/>
        </w:rPr>
      </w:pPr>
    </w:p>
    <w:sectPr w:rsidR="00DA7209" w:rsidRPr="00C0579B" w:rsidSect="00B8513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C2B0D" w14:textId="77777777" w:rsidR="001C72A0" w:rsidRDefault="001C72A0" w:rsidP="00CB57C9">
      <w:pPr>
        <w:spacing w:after="0" w:line="240" w:lineRule="auto"/>
      </w:pPr>
      <w:r>
        <w:separator/>
      </w:r>
    </w:p>
  </w:endnote>
  <w:endnote w:type="continuationSeparator" w:id="0">
    <w:p w14:paraId="792858B2" w14:textId="77777777" w:rsidR="001C72A0" w:rsidRDefault="001C72A0" w:rsidP="00CB5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46FD8" w14:textId="77777777" w:rsidR="00AC167B" w:rsidRDefault="00AC16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EAAAA" w:themeColor="background2" w:themeShade="BF"/>
      </w:rPr>
      <w:id w:val="1735501137"/>
      <w:docPartObj>
        <w:docPartGallery w:val="Page Numbers (Bottom of Page)"/>
        <w:docPartUnique/>
      </w:docPartObj>
    </w:sdtPr>
    <w:sdtEndPr>
      <w:rPr>
        <w:noProof/>
      </w:rPr>
    </w:sdtEndPr>
    <w:sdtContent>
      <w:p w14:paraId="022BBDAD" w14:textId="77777777" w:rsidR="00915D64" w:rsidRPr="00AC167B" w:rsidRDefault="00915D64">
        <w:pPr>
          <w:pStyle w:val="Footer"/>
          <w:jc w:val="center"/>
          <w:rPr>
            <w:color w:val="AEAAAA" w:themeColor="background2" w:themeShade="BF"/>
          </w:rPr>
        </w:pPr>
        <w:r w:rsidRPr="00AC167B">
          <w:rPr>
            <w:color w:val="AEAAAA" w:themeColor="background2" w:themeShade="BF"/>
          </w:rPr>
          <w:fldChar w:fldCharType="begin"/>
        </w:r>
        <w:r w:rsidRPr="00AC167B">
          <w:rPr>
            <w:color w:val="AEAAAA" w:themeColor="background2" w:themeShade="BF"/>
          </w:rPr>
          <w:instrText xml:space="preserve"> PAGE   \* MERGEFORMAT </w:instrText>
        </w:r>
        <w:r w:rsidRPr="00AC167B">
          <w:rPr>
            <w:color w:val="AEAAAA" w:themeColor="background2" w:themeShade="BF"/>
          </w:rPr>
          <w:fldChar w:fldCharType="separate"/>
        </w:r>
        <w:r w:rsidR="005109AB">
          <w:rPr>
            <w:noProof/>
            <w:color w:val="AEAAAA" w:themeColor="background2" w:themeShade="BF"/>
          </w:rPr>
          <w:t>11</w:t>
        </w:r>
        <w:r w:rsidRPr="00AC167B">
          <w:rPr>
            <w:noProof/>
            <w:color w:val="AEAAAA" w:themeColor="background2" w:themeShade="BF"/>
          </w:rPr>
          <w:fldChar w:fldCharType="end"/>
        </w:r>
      </w:p>
    </w:sdtContent>
  </w:sdt>
  <w:p w14:paraId="631846B3" w14:textId="77777777" w:rsidR="00915D64" w:rsidRDefault="00915D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C1AFB" w14:textId="77777777" w:rsidR="00AC167B" w:rsidRDefault="00AC1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756BE" w14:textId="77777777" w:rsidR="001C72A0" w:rsidRDefault="001C72A0" w:rsidP="00CB57C9">
      <w:pPr>
        <w:spacing w:after="0" w:line="240" w:lineRule="auto"/>
      </w:pPr>
      <w:r>
        <w:separator/>
      </w:r>
    </w:p>
  </w:footnote>
  <w:footnote w:type="continuationSeparator" w:id="0">
    <w:p w14:paraId="6FBB73CC" w14:textId="77777777" w:rsidR="001C72A0" w:rsidRDefault="001C72A0" w:rsidP="00CB57C9">
      <w:pPr>
        <w:spacing w:after="0" w:line="240" w:lineRule="auto"/>
      </w:pPr>
      <w:r>
        <w:continuationSeparator/>
      </w:r>
    </w:p>
  </w:footnote>
  <w:footnote w:id="1">
    <w:p w14:paraId="7D8C662E" w14:textId="77777777" w:rsidR="00CB57C9" w:rsidRPr="00CB57C9" w:rsidRDefault="00CB57C9" w:rsidP="00CB57C9">
      <w:pPr>
        <w:spacing w:after="0" w:line="240" w:lineRule="auto"/>
        <w:rPr>
          <w:sz w:val="16"/>
          <w:szCs w:val="16"/>
        </w:rPr>
      </w:pPr>
      <w:r>
        <w:rPr>
          <w:vertAlign w:val="superscript"/>
        </w:rPr>
        <w:footnoteRef/>
      </w:r>
      <w:r>
        <w:rPr>
          <w:sz w:val="20"/>
          <w:szCs w:val="20"/>
        </w:rPr>
        <w:t xml:space="preserve"> </w:t>
      </w:r>
      <w:r>
        <w:rPr>
          <w:sz w:val="16"/>
          <w:szCs w:val="16"/>
        </w:rPr>
        <w:t>Indicator 4A is included in the Compliance Matrix despite its being a result-indicator due to its close association with 4B.</w:t>
      </w:r>
    </w:p>
  </w:footnote>
  <w:footnote w:id="2">
    <w:p w14:paraId="0E38EE1F" w14:textId="77777777" w:rsidR="00CB57C9" w:rsidRDefault="00CB57C9">
      <w:pPr>
        <w:pStyle w:val="FootnoteText"/>
      </w:pPr>
      <w:r>
        <w:rPr>
          <w:rStyle w:val="FootnoteReference"/>
        </w:rPr>
        <w:footnoteRef/>
      </w:r>
      <w:r>
        <w:t xml:space="preserve"> </w:t>
      </w:r>
      <w:r>
        <w:rPr>
          <w:sz w:val="16"/>
          <w:szCs w:val="16"/>
        </w:rPr>
        <w:t>A notation of “N/A” (for “not applicable”) in the “Performance” column for an indicator denotes that the indicator is not applicable to that particular AU. The points for such indicator are not included in the denominator for the matrix, and the indicator does not impact the AU’s Compliance Score, Compliance Determination, AU Score, or AU Determination.</w:t>
      </w:r>
    </w:p>
  </w:footnote>
  <w:footnote w:id="3">
    <w:p w14:paraId="3913D508" w14:textId="77777777" w:rsidR="00CB57C9" w:rsidRDefault="00CB57C9">
      <w:pPr>
        <w:pStyle w:val="FootnoteText"/>
      </w:pPr>
      <w:r>
        <w:rPr>
          <w:rStyle w:val="FootnoteReference"/>
        </w:rPr>
        <w:footnoteRef/>
      </w:r>
      <w:r>
        <w:t xml:space="preserve"> </w:t>
      </w:r>
      <w:r>
        <w:rPr>
          <w:sz w:val="16"/>
          <w:szCs w:val="16"/>
        </w:rPr>
        <w:t>In determining whether an AU has met this 95% compliance criterion, the CDE ESSU will round up from 94.5% (but no lower) to 95%. Similarly, in determining whether an AU has met the 90% compliance criterion discussed below, the CDE ESSU will round up from 89.5% (but no lower) to 90%. In addition, in determining whether</w:t>
      </w:r>
      <w:r>
        <w:t xml:space="preserve"> </w:t>
      </w:r>
      <w:r>
        <w:rPr>
          <w:sz w:val="16"/>
          <w:szCs w:val="16"/>
        </w:rPr>
        <w:t>an AU has met the 75% compliance criterion discussed below, the CDE ESSU will round up from 74.5% (but no lower) to 75%.</w:t>
      </w:r>
    </w:p>
  </w:footnote>
  <w:footnote w:id="4">
    <w:p w14:paraId="48E06F78" w14:textId="77777777" w:rsidR="00E37794" w:rsidRDefault="00E37794" w:rsidP="00E37794">
      <w:pPr>
        <w:pStyle w:val="FootnoteText"/>
      </w:pPr>
      <w:r>
        <w:rPr>
          <w:rStyle w:val="FootnoteReference"/>
        </w:rPr>
        <w:footnoteRef/>
      </w:r>
      <w:r>
        <w:t xml:space="preserve"> Both AU’s percentage and the scoring rubric for each of ranked results indicators were rounded to the first dismal point. If an AU’s graduation rate was 92.2% and the threshold for the maximum eligible points was 92.3%, the AU did not meet the criterion for the maximum points.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598AC" w14:textId="77777777" w:rsidR="00AC167B" w:rsidRDefault="00AC16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C1D93" w14:textId="77777777" w:rsidR="00B8513F" w:rsidRPr="00B8513F" w:rsidRDefault="00B8513F" w:rsidP="00B8513F">
    <w:pPr>
      <w:pStyle w:val="Header"/>
      <w:jc w:val="center"/>
      <w:rPr>
        <w:color w:val="AEAAAA" w:themeColor="background2" w:themeShade="BF"/>
      </w:rPr>
    </w:pPr>
    <w:r w:rsidRPr="00B8513F">
      <w:rPr>
        <w:color w:val="AEAAAA" w:themeColor="background2" w:themeShade="BF"/>
      </w:rPr>
      <w:t>HOW the CDE ESSU Made Determinations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502DF" w14:textId="77777777" w:rsidR="00AC167B" w:rsidRDefault="00AC16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145B"/>
    <w:multiLevelType w:val="hybridMultilevel"/>
    <w:tmpl w:val="128CD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47400"/>
    <w:multiLevelType w:val="multilevel"/>
    <w:tmpl w:val="E572D16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B625B13"/>
    <w:multiLevelType w:val="multilevel"/>
    <w:tmpl w:val="6CAA379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277B56F0"/>
    <w:multiLevelType w:val="multilevel"/>
    <w:tmpl w:val="D7A465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31F260F8"/>
    <w:multiLevelType w:val="multilevel"/>
    <w:tmpl w:val="BB2E89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41F05792"/>
    <w:multiLevelType w:val="multilevel"/>
    <w:tmpl w:val="7CF41A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6A5A4C75"/>
    <w:multiLevelType w:val="multilevel"/>
    <w:tmpl w:val="F6EE986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77EE385A"/>
    <w:multiLevelType w:val="hybridMultilevel"/>
    <w:tmpl w:val="37FC1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5"/>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7C9"/>
    <w:rsid w:val="00004B1F"/>
    <w:rsid w:val="000222F1"/>
    <w:rsid w:val="00037F5D"/>
    <w:rsid w:val="001276A0"/>
    <w:rsid w:val="001408C7"/>
    <w:rsid w:val="001C72A0"/>
    <w:rsid w:val="001F0C79"/>
    <w:rsid w:val="001F1592"/>
    <w:rsid w:val="00201825"/>
    <w:rsid w:val="00205AF6"/>
    <w:rsid w:val="00240AD6"/>
    <w:rsid w:val="002727B2"/>
    <w:rsid w:val="002D3575"/>
    <w:rsid w:val="003766F7"/>
    <w:rsid w:val="003D19BF"/>
    <w:rsid w:val="003D4F2C"/>
    <w:rsid w:val="003E0DA1"/>
    <w:rsid w:val="00434393"/>
    <w:rsid w:val="004346CA"/>
    <w:rsid w:val="0045172C"/>
    <w:rsid w:val="00463CD5"/>
    <w:rsid w:val="004C1E02"/>
    <w:rsid w:val="004D39C7"/>
    <w:rsid w:val="004F3CC6"/>
    <w:rsid w:val="005109AB"/>
    <w:rsid w:val="005307BB"/>
    <w:rsid w:val="00572C37"/>
    <w:rsid w:val="005B5294"/>
    <w:rsid w:val="005E42BF"/>
    <w:rsid w:val="005F7A77"/>
    <w:rsid w:val="00621AE3"/>
    <w:rsid w:val="0069134B"/>
    <w:rsid w:val="006934EC"/>
    <w:rsid w:val="006A33E9"/>
    <w:rsid w:val="006A34A7"/>
    <w:rsid w:val="006B71B9"/>
    <w:rsid w:val="006C04F0"/>
    <w:rsid w:val="007614E9"/>
    <w:rsid w:val="007632DD"/>
    <w:rsid w:val="00792F14"/>
    <w:rsid w:val="007E36B8"/>
    <w:rsid w:val="0080047D"/>
    <w:rsid w:val="008B12CA"/>
    <w:rsid w:val="008D0E9C"/>
    <w:rsid w:val="008E4642"/>
    <w:rsid w:val="008F26E5"/>
    <w:rsid w:val="008F68F9"/>
    <w:rsid w:val="00915D64"/>
    <w:rsid w:val="0092449C"/>
    <w:rsid w:val="0093031E"/>
    <w:rsid w:val="00931A25"/>
    <w:rsid w:val="0094778B"/>
    <w:rsid w:val="00973DD1"/>
    <w:rsid w:val="009A539A"/>
    <w:rsid w:val="009F70CC"/>
    <w:rsid w:val="00A343E1"/>
    <w:rsid w:val="00A418B4"/>
    <w:rsid w:val="00AC167B"/>
    <w:rsid w:val="00AD6552"/>
    <w:rsid w:val="00B070EF"/>
    <w:rsid w:val="00B35AFB"/>
    <w:rsid w:val="00B36171"/>
    <w:rsid w:val="00B771D5"/>
    <w:rsid w:val="00B77B99"/>
    <w:rsid w:val="00B8513F"/>
    <w:rsid w:val="00BA1319"/>
    <w:rsid w:val="00BA1D80"/>
    <w:rsid w:val="00BE404E"/>
    <w:rsid w:val="00C0579B"/>
    <w:rsid w:val="00C13FB1"/>
    <w:rsid w:val="00C209E0"/>
    <w:rsid w:val="00C40872"/>
    <w:rsid w:val="00C613BE"/>
    <w:rsid w:val="00C72CC3"/>
    <w:rsid w:val="00C903D3"/>
    <w:rsid w:val="00C92872"/>
    <w:rsid w:val="00CB57C9"/>
    <w:rsid w:val="00CB7D77"/>
    <w:rsid w:val="00CD401F"/>
    <w:rsid w:val="00CF1178"/>
    <w:rsid w:val="00D1348E"/>
    <w:rsid w:val="00DA7209"/>
    <w:rsid w:val="00DC5E8C"/>
    <w:rsid w:val="00DF659A"/>
    <w:rsid w:val="00E37794"/>
    <w:rsid w:val="00E71D2C"/>
    <w:rsid w:val="00E7348E"/>
    <w:rsid w:val="00E7550B"/>
    <w:rsid w:val="00E95559"/>
    <w:rsid w:val="00EA5ACE"/>
    <w:rsid w:val="00EB00BF"/>
    <w:rsid w:val="00EB72B6"/>
    <w:rsid w:val="00ED2096"/>
    <w:rsid w:val="00EF29CC"/>
    <w:rsid w:val="00EF2C33"/>
    <w:rsid w:val="00F03748"/>
    <w:rsid w:val="00F10EC0"/>
    <w:rsid w:val="00F27A4D"/>
    <w:rsid w:val="00F34628"/>
    <w:rsid w:val="00F35EA9"/>
    <w:rsid w:val="00FC4808"/>
    <w:rsid w:val="00FD7476"/>
    <w:rsid w:val="00FF3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C94CCFE"/>
  <w15:chartTrackingRefBased/>
  <w15:docId w15:val="{9DA5147A-D479-4335-B1AE-AFF11A479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57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B57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13F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209E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CB57C9"/>
    <w:rPr>
      <w:b/>
      <w:bCs/>
      <w:smallCaps/>
      <w:color w:val="5B9BD5" w:themeColor="accent1"/>
      <w:spacing w:val="5"/>
    </w:rPr>
  </w:style>
  <w:style w:type="character" w:styleId="SubtleEmphasis">
    <w:name w:val="Subtle Emphasis"/>
    <w:basedOn w:val="DefaultParagraphFont"/>
    <w:uiPriority w:val="19"/>
    <w:qFormat/>
    <w:rsid w:val="00CB57C9"/>
    <w:rPr>
      <w:i/>
      <w:iCs/>
      <w:color w:val="404040" w:themeColor="text1" w:themeTint="BF"/>
    </w:rPr>
  </w:style>
  <w:style w:type="character" w:customStyle="1" w:styleId="Heading1Char">
    <w:name w:val="Heading 1 Char"/>
    <w:basedOn w:val="DefaultParagraphFont"/>
    <w:link w:val="Heading1"/>
    <w:uiPriority w:val="9"/>
    <w:rsid w:val="00CB57C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B57C9"/>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CB57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57C9"/>
    <w:rPr>
      <w:sz w:val="20"/>
      <w:szCs w:val="20"/>
    </w:rPr>
  </w:style>
  <w:style w:type="character" w:styleId="FootnoteReference">
    <w:name w:val="footnote reference"/>
    <w:basedOn w:val="DefaultParagraphFont"/>
    <w:uiPriority w:val="99"/>
    <w:semiHidden/>
    <w:unhideWhenUsed/>
    <w:rsid w:val="00CB57C9"/>
    <w:rPr>
      <w:vertAlign w:val="superscript"/>
    </w:rPr>
  </w:style>
  <w:style w:type="paragraph" w:styleId="ListParagraph">
    <w:name w:val="List Paragraph"/>
    <w:basedOn w:val="Normal"/>
    <w:uiPriority w:val="34"/>
    <w:qFormat/>
    <w:rsid w:val="00CB57C9"/>
    <w:pPr>
      <w:ind w:left="720"/>
      <w:contextualSpacing/>
    </w:pPr>
  </w:style>
  <w:style w:type="character" w:customStyle="1" w:styleId="Heading4Char">
    <w:name w:val="Heading 4 Char"/>
    <w:basedOn w:val="DefaultParagraphFont"/>
    <w:link w:val="Heading4"/>
    <w:uiPriority w:val="9"/>
    <w:semiHidden/>
    <w:rsid w:val="00C209E0"/>
    <w:rPr>
      <w:rFonts w:asciiTheme="majorHAnsi" w:eastAsiaTheme="majorEastAsia" w:hAnsiTheme="majorHAnsi" w:cstheme="majorBidi"/>
      <w:i/>
      <w:iCs/>
      <w:color w:val="2E74B5" w:themeColor="accent1" w:themeShade="BF"/>
    </w:rPr>
  </w:style>
  <w:style w:type="character" w:styleId="IntenseEmphasis">
    <w:name w:val="Intense Emphasis"/>
    <w:basedOn w:val="DefaultParagraphFont"/>
    <w:uiPriority w:val="21"/>
    <w:qFormat/>
    <w:rsid w:val="0045172C"/>
    <w:rPr>
      <w:i/>
      <w:iCs/>
      <w:color w:val="5B9BD5" w:themeColor="accent1"/>
    </w:rPr>
  </w:style>
  <w:style w:type="character" w:customStyle="1" w:styleId="Heading3Char">
    <w:name w:val="Heading 3 Char"/>
    <w:basedOn w:val="DefaultParagraphFont"/>
    <w:link w:val="Heading3"/>
    <w:uiPriority w:val="9"/>
    <w:rsid w:val="00C13FB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15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D64"/>
  </w:style>
  <w:style w:type="paragraph" w:styleId="Footer">
    <w:name w:val="footer"/>
    <w:basedOn w:val="Normal"/>
    <w:link w:val="FooterChar"/>
    <w:uiPriority w:val="99"/>
    <w:unhideWhenUsed/>
    <w:rsid w:val="00915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D64"/>
  </w:style>
  <w:style w:type="character" w:styleId="CommentReference">
    <w:name w:val="annotation reference"/>
    <w:basedOn w:val="DefaultParagraphFont"/>
    <w:uiPriority w:val="99"/>
    <w:semiHidden/>
    <w:unhideWhenUsed/>
    <w:rsid w:val="00A343E1"/>
    <w:rPr>
      <w:sz w:val="16"/>
      <w:szCs w:val="16"/>
    </w:rPr>
  </w:style>
  <w:style w:type="paragraph" w:styleId="CommentText">
    <w:name w:val="annotation text"/>
    <w:basedOn w:val="Normal"/>
    <w:link w:val="CommentTextChar"/>
    <w:uiPriority w:val="99"/>
    <w:semiHidden/>
    <w:unhideWhenUsed/>
    <w:rsid w:val="00A343E1"/>
    <w:pPr>
      <w:spacing w:line="240" w:lineRule="auto"/>
    </w:pPr>
    <w:rPr>
      <w:sz w:val="20"/>
      <w:szCs w:val="20"/>
    </w:rPr>
  </w:style>
  <w:style w:type="character" w:customStyle="1" w:styleId="CommentTextChar">
    <w:name w:val="Comment Text Char"/>
    <w:basedOn w:val="DefaultParagraphFont"/>
    <w:link w:val="CommentText"/>
    <w:uiPriority w:val="99"/>
    <w:semiHidden/>
    <w:rsid w:val="00A343E1"/>
    <w:rPr>
      <w:sz w:val="20"/>
      <w:szCs w:val="20"/>
    </w:rPr>
  </w:style>
  <w:style w:type="paragraph" w:styleId="CommentSubject">
    <w:name w:val="annotation subject"/>
    <w:basedOn w:val="CommentText"/>
    <w:next w:val="CommentText"/>
    <w:link w:val="CommentSubjectChar"/>
    <w:uiPriority w:val="99"/>
    <w:semiHidden/>
    <w:unhideWhenUsed/>
    <w:rsid w:val="00A343E1"/>
    <w:rPr>
      <w:b/>
      <w:bCs/>
    </w:rPr>
  </w:style>
  <w:style w:type="character" w:customStyle="1" w:styleId="CommentSubjectChar">
    <w:name w:val="Comment Subject Char"/>
    <w:basedOn w:val="CommentTextChar"/>
    <w:link w:val="CommentSubject"/>
    <w:uiPriority w:val="99"/>
    <w:semiHidden/>
    <w:rsid w:val="00A343E1"/>
    <w:rPr>
      <w:b/>
      <w:bCs/>
      <w:sz w:val="20"/>
      <w:szCs w:val="20"/>
    </w:rPr>
  </w:style>
  <w:style w:type="paragraph" w:styleId="BalloonText">
    <w:name w:val="Balloon Text"/>
    <w:basedOn w:val="Normal"/>
    <w:link w:val="BalloonTextChar"/>
    <w:uiPriority w:val="99"/>
    <w:semiHidden/>
    <w:unhideWhenUsed/>
    <w:rsid w:val="00A343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3E1"/>
    <w:rPr>
      <w:rFonts w:ascii="Segoe UI" w:hAnsi="Segoe UI" w:cs="Segoe UI"/>
      <w:sz w:val="18"/>
      <w:szCs w:val="18"/>
    </w:rPr>
  </w:style>
  <w:style w:type="character" w:styleId="Hyperlink">
    <w:name w:val="Hyperlink"/>
    <w:basedOn w:val="DefaultParagraphFont"/>
    <w:uiPriority w:val="99"/>
    <w:unhideWhenUsed/>
    <w:rsid w:val="005109AB"/>
    <w:rPr>
      <w:color w:val="0563C1" w:themeColor="hyperlink"/>
      <w:u w:val="single"/>
    </w:rPr>
  </w:style>
  <w:style w:type="character" w:styleId="FollowedHyperlink">
    <w:name w:val="FollowedHyperlink"/>
    <w:basedOn w:val="DefaultParagraphFont"/>
    <w:uiPriority w:val="99"/>
    <w:semiHidden/>
    <w:unhideWhenUsed/>
    <w:rsid w:val="005109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cdereval/gradcurren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DC6C2-2C10-4B88-BBAB-E8E9E48D8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12</Pages>
  <Words>4160</Words>
  <Characters>23715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27820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Imura, Miki</dc:creator>
  <cp:keywords/>
  <dc:description/>
  <cp:lastModifiedBy>Imura, Miki</cp:lastModifiedBy>
  <cp:revision>23</cp:revision>
  <dcterms:created xsi:type="dcterms:W3CDTF">2018-02-05T18:28:00Z</dcterms:created>
  <dcterms:modified xsi:type="dcterms:W3CDTF">2018-03-19T16:16:00Z</dcterms:modified>
</cp:coreProperties>
</file>