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81"/>
        <w:tblW w:w="112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777"/>
        <w:gridCol w:w="9573"/>
      </w:tblGrid>
      <w:tr w:rsidR="00715A81" w:rsidRPr="00245726" w:rsidTr="00EB6BBA">
        <w:trPr>
          <w:trHeight w:val="85"/>
        </w:trPr>
        <w:tc>
          <w:tcPr>
            <w:tcW w:w="1122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715A81" w:rsidRPr="00817FC5" w:rsidRDefault="00715A81" w:rsidP="003D021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mallCaps/>
                <w:sz w:val="22"/>
                <w:szCs w:val="20"/>
              </w:rPr>
            </w:pPr>
            <w:r w:rsidRPr="00817FC5">
              <w:rPr>
                <w:rFonts w:ascii="Arial Narrow" w:hAnsi="Arial Narrow" w:cs="Arial"/>
                <w:b/>
                <w:smallCaps/>
                <w:sz w:val="22"/>
                <w:szCs w:val="20"/>
              </w:rPr>
              <w:t xml:space="preserve">Determination of Eligibility: </w:t>
            </w:r>
            <w:r w:rsidR="003D0214" w:rsidRPr="00817FC5">
              <w:rPr>
                <w:rFonts w:ascii="Arial Narrow" w:hAnsi="Arial Narrow" w:cs="Arial"/>
                <w:b/>
                <w:smallCaps/>
                <w:sz w:val="22"/>
                <w:szCs w:val="20"/>
              </w:rPr>
              <w:t>Serious</w:t>
            </w:r>
            <w:r w:rsidRPr="00817FC5">
              <w:rPr>
                <w:rFonts w:ascii="Arial Narrow" w:hAnsi="Arial Narrow" w:cs="Arial"/>
                <w:b/>
                <w:smallCaps/>
                <w:sz w:val="22"/>
                <w:szCs w:val="20"/>
              </w:rPr>
              <w:t xml:space="preserve"> Emotional Disability</w:t>
            </w:r>
            <w:r w:rsidR="00040487" w:rsidRPr="00817FC5">
              <w:rPr>
                <w:rFonts w:ascii="Arial Narrow" w:hAnsi="Arial Narrow" w:cs="Arial"/>
                <w:b/>
                <w:smallCaps/>
                <w:sz w:val="22"/>
                <w:szCs w:val="20"/>
              </w:rPr>
              <w:t xml:space="preserve"> </w:t>
            </w:r>
          </w:p>
        </w:tc>
      </w:tr>
      <w:tr w:rsidR="00715A81" w:rsidRPr="00245726" w:rsidTr="00EB6BBA">
        <w:trPr>
          <w:trHeight w:val="85"/>
        </w:trPr>
        <w:tc>
          <w:tcPr>
            <w:tcW w:w="1122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15A81" w:rsidRPr="00757002" w:rsidRDefault="00715A81" w:rsidP="003D021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57002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113846">
              <w:rPr>
                <w:rFonts w:ascii="Arial Narrow" w:hAnsi="Arial Narrow"/>
                <w:sz w:val="22"/>
                <w:szCs w:val="22"/>
              </w:rPr>
              <w:t>A</w:t>
            </w:r>
            <w:r w:rsidRPr="00757002">
              <w:rPr>
                <w:rFonts w:ascii="Arial Narrow" w:hAnsi="Arial Narrow"/>
                <w:sz w:val="22"/>
                <w:szCs w:val="22"/>
              </w:rPr>
              <w:t xml:space="preserve"> child with a </w:t>
            </w:r>
            <w:r w:rsidR="00113846">
              <w:rPr>
                <w:rFonts w:ascii="Arial Narrow" w:hAnsi="Arial Narrow"/>
                <w:sz w:val="22"/>
                <w:szCs w:val="22"/>
              </w:rPr>
              <w:t>S</w:t>
            </w:r>
            <w:r w:rsidR="003D0214">
              <w:rPr>
                <w:rFonts w:ascii="Arial Narrow" w:hAnsi="Arial Narrow"/>
                <w:sz w:val="22"/>
                <w:szCs w:val="22"/>
              </w:rPr>
              <w:t>erious</w:t>
            </w:r>
            <w:r w:rsidR="00113846">
              <w:rPr>
                <w:rFonts w:ascii="Arial Narrow" w:hAnsi="Arial Narrow"/>
                <w:sz w:val="22"/>
                <w:szCs w:val="22"/>
              </w:rPr>
              <w:t xml:space="preserve"> Emotional D</w:t>
            </w:r>
            <w:r w:rsidRPr="00757002">
              <w:rPr>
                <w:rFonts w:ascii="Arial Narrow" w:hAnsi="Arial Narrow"/>
                <w:sz w:val="22"/>
                <w:szCs w:val="22"/>
              </w:rPr>
              <w:t>isability shall have emotional or social functioning</w:t>
            </w:r>
            <w:r w:rsidRPr="00757002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757002">
              <w:rPr>
                <w:rFonts w:ascii="Arial Narrow" w:hAnsi="Arial Narrow"/>
                <w:sz w:val="22"/>
                <w:szCs w:val="22"/>
              </w:rPr>
              <w:t>which prevents the child from receiving reasonable benefit from general education.</w:t>
            </w:r>
            <w:r w:rsidR="0005473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4737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ECEA 2.08(3)</w:t>
            </w:r>
          </w:p>
        </w:tc>
      </w:tr>
      <w:tr w:rsidR="003F3FE2" w:rsidRPr="00245726" w:rsidTr="00EB6BBA">
        <w:trPr>
          <w:trHeight w:val="51"/>
        </w:trPr>
        <w:tc>
          <w:tcPr>
            <w:tcW w:w="1122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F3FE2" w:rsidRPr="00FA0669" w:rsidRDefault="003F3FE2" w:rsidP="00EB6BB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717078">
              <w:rPr>
                <w:rFonts w:ascii="Arial Narrow" w:hAnsi="Arial Narrow"/>
                <w:b/>
                <w:sz w:val="22"/>
                <w:szCs w:val="22"/>
              </w:rPr>
              <w:t>The team has addressed each of the following statements and has determined</w:t>
            </w:r>
            <w:r w:rsidRPr="00FA0669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="00296B24" w:rsidRPr="00BF1D1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96B24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296B24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4 C.F.R. §§ 300.304(c)(6) and 300.306(b),</w:t>
            </w:r>
            <w:r w:rsidR="00296B24" w:rsidRPr="0034790D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13846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2.08(3</w:t>
            </w:r>
            <w:r w:rsidR="00FA0669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  <w:r w:rsidRPr="00FA0669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83483" w:rsidRPr="00245726" w:rsidTr="00EB6BBA">
        <w:trPr>
          <w:trHeight w:val="51"/>
        </w:trPr>
        <w:tc>
          <w:tcPr>
            <w:tcW w:w="876" w:type="dxa"/>
            <w:tcBorders>
              <w:top w:val="nil"/>
              <w:left w:val="single" w:sz="18" w:space="0" w:color="auto"/>
              <w:bottom w:val="nil"/>
            </w:tcBorders>
          </w:tcPr>
          <w:p w:rsidR="00583483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83483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top w:val="nil"/>
              <w:bottom w:val="nil"/>
              <w:right w:val="single" w:sz="18" w:space="0" w:color="auto"/>
            </w:tcBorders>
          </w:tcPr>
          <w:p w:rsidR="00583483" w:rsidRPr="00757002" w:rsidRDefault="00F63E53" w:rsidP="00EB6BBA">
            <w:pPr>
              <w:autoSpaceDE w:val="0"/>
              <w:autoSpaceDN w:val="0"/>
              <w:adjustRightInd w:val="0"/>
              <w:ind w:left="289" w:hanging="28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 Th</w:t>
            </w:r>
            <w:r w:rsidR="00583483" w:rsidRPr="00757002">
              <w:rPr>
                <w:rFonts w:ascii="Arial Narrow" w:hAnsi="Arial Narrow" w:cs="Arial"/>
                <w:sz w:val="22"/>
                <w:szCs w:val="22"/>
              </w:rPr>
              <w:t>e evaluation is sufficiently comprehensive to appropriately identify all of the child’s special education and related services needs, whether or not commonly linked to the disability category</w:t>
            </w:r>
            <w:r w:rsidR="003F3FE2" w:rsidRPr="00757002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054737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3F3FE2" w:rsidRPr="00757002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583483" w:rsidRPr="00245726" w:rsidTr="00EB6BBA">
        <w:trPr>
          <w:trHeight w:val="51"/>
        </w:trPr>
        <w:tc>
          <w:tcPr>
            <w:tcW w:w="876" w:type="dxa"/>
            <w:tcBorders>
              <w:top w:val="nil"/>
              <w:left w:val="single" w:sz="18" w:space="0" w:color="auto"/>
              <w:bottom w:val="nil"/>
            </w:tcBorders>
          </w:tcPr>
          <w:p w:rsidR="00583483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tcBorders>
              <w:top w:val="nil"/>
              <w:bottom w:val="nil"/>
            </w:tcBorders>
          </w:tcPr>
          <w:p w:rsidR="00583483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583483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top w:val="nil"/>
              <w:bottom w:val="nil"/>
              <w:right w:val="single" w:sz="18" w:space="0" w:color="auto"/>
            </w:tcBorders>
          </w:tcPr>
          <w:p w:rsidR="00583483" w:rsidRPr="00757002" w:rsidRDefault="00583483" w:rsidP="00EB6BBA">
            <w:pPr>
              <w:autoSpaceDE w:val="0"/>
              <w:autoSpaceDN w:val="0"/>
              <w:adjustRightInd w:val="0"/>
              <w:ind w:left="289" w:hanging="28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57002">
              <w:rPr>
                <w:rFonts w:ascii="Arial Narrow" w:hAnsi="Arial Narrow" w:cs="Arial"/>
                <w:sz w:val="22"/>
                <w:szCs w:val="22"/>
              </w:rPr>
              <w:t xml:space="preserve">2.  </w:t>
            </w:r>
            <w:r w:rsidR="00F63E53">
              <w:rPr>
                <w:rFonts w:ascii="Arial Narrow" w:hAnsi="Arial Narrow" w:cs="Arial"/>
                <w:sz w:val="22"/>
                <w:szCs w:val="22"/>
              </w:rPr>
              <w:t>Th</w:t>
            </w:r>
            <w:r w:rsidR="00704B06" w:rsidRPr="00757002">
              <w:rPr>
                <w:rFonts w:ascii="Arial Narrow" w:hAnsi="Arial Narrow" w:cs="Arial"/>
                <w:sz w:val="22"/>
                <w:szCs w:val="22"/>
              </w:rPr>
              <w:t xml:space="preserve">e </w:t>
            </w:r>
            <w:r w:rsidR="00054737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F04F51" w:rsidRPr="0075700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04F51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>can</w:t>
            </w:r>
            <w:r w:rsidR="00F04F51" w:rsidRPr="0075700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>receive reasonable educational benefit from general education alone</w:t>
            </w:r>
            <w:r w:rsidR="003F3FE2" w:rsidRPr="00757002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054737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3F3FE2" w:rsidRPr="00757002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583483" w:rsidRPr="00245726" w:rsidTr="00EB6BBA">
        <w:trPr>
          <w:trHeight w:val="51"/>
        </w:trPr>
        <w:tc>
          <w:tcPr>
            <w:tcW w:w="87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83483" w:rsidRPr="0024445D" w:rsidRDefault="00583483" w:rsidP="00EB6BB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nil"/>
              <w:bottom w:val="single" w:sz="18" w:space="0" w:color="auto"/>
            </w:tcBorders>
          </w:tcPr>
          <w:p w:rsidR="00583483" w:rsidRPr="0024445D" w:rsidRDefault="00583483" w:rsidP="00EB6BB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957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83483" w:rsidRPr="00757002" w:rsidRDefault="00F04EDE" w:rsidP="00F04EDE">
            <w:pPr>
              <w:tabs>
                <w:tab w:val="left" w:pos="1080"/>
                <w:tab w:val="left" w:pos="1980"/>
              </w:tabs>
              <w:ind w:left="237" w:right="-1" w:hanging="23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3.  </w:t>
            </w:r>
            <w:r w:rsidR="00F63E53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11384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54737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113846">
              <w:rPr>
                <w:rFonts w:ascii="Arial Narrow" w:hAnsi="Arial Narrow" w:cs="Arial"/>
                <w:sz w:val="22"/>
                <w:szCs w:val="22"/>
              </w:rPr>
              <w:t>’s performance</w:t>
            </w:r>
            <w:r w:rsidR="00583483" w:rsidRPr="00757002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3F3FE2" w:rsidRPr="00757002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054737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3F3FE2" w:rsidRPr="00757002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:rsidR="00583483" w:rsidRPr="00757002" w:rsidRDefault="00594DE3" w:rsidP="00F04EDE">
            <w:pPr>
              <w:tabs>
                <w:tab w:val="left" w:pos="702"/>
                <w:tab w:val="left" w:pos="1080"/>
              </w:tabs>
              <w:ind w:left="1947" w:right="-1" w:hanging="158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583483" w:rsidRPr="00594DE3">
              <w:rPr>
                <w:rFonts w:ascii="Arial Narrow" w:hAnsi="Arial Narrow" w:cs="Arial"/>
                <w:b/>
                <w:sz w:val="22"/>
                <w:szCs w:val="22"/>
              </w:rPr>
              <w:t>is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</w:t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583483" w:rsidRPr="00594DE3">
              <w:rPr>
                <w:rFonts w:ascii="Arial Narrow" w:hAnsi="Arial Narrow" w:cs="Arial"/>
                <w:b/>
                <w:sz w:val="22"/>
                <w:szCs w:val="22"/>
              </w:rPr>
              <w:t>is</w:t>
            </w:r>
            <w:proofErr w:type="spellEnd"/>
            <w:r w:rsidR="00583483" w:rsidRPr="00594DE3">
              <w:rPr>
                <w:rFonts w:ascii="Arial Narrow" w:hAnsi="Arial Narrow" w:cs="Arial"/>
                <w:b/>
                <w:sz w:val="22"/>
                <w:szCs w:val="22"/>
              </w:rPr>
              <w:t xml:space="preserve"> not</w:t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583483" w:rsidRPr="00757002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reading, including the essential components of </w:t>
            </w:r>
            <w:r w:rsidR="00F04ED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83483" w:rsidRPr="00757002">
              <w:rPr>
                <w:rFonts w:ascii="Arial Narrow" w:hAnsi="Arial Narrow" w:cs="Arial"/>
                <w:sz w:val="22"/>
                <w:szCs w:val="22"/>
              </w:rPr>
              <w:t xml:space="preserve">reading instruction </w:t>
            </w:r>
          </w:p>
          <w:p w:rsidR="00583483" w:rsidRPr="00757002" w:rsidRDefault="00594DE3" w:rsidP="00EB6BBA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583483" w:rsidRPr="00594DE3">
              <w:rPr>
                <w:rFonts w:ascii="Arial Narrow" w:hAnsi="Arial Narrow" w:cs="Arial"/>
                <w:b/>
                <w:sz w:val="22"/>
                <w:szCs w:val="22"/>
              </w:rPr>
              <w:t xml:space="preserve">is </w:t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</w:t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583483" w:rsidRPr="00594DE3">
              <w:rPr>
                <w:rFonts w:ascii="Arial Narrow" w:hAnsi="Arial Narrow" w:cs="Arial"/>
                <w:b/>
                <w:sz w:val="22"/>
                <w:szCs w:val="22"/>
              </w:rPr>
              <w:t>is</w:t>
            </w:r>
            <w:proofErr w:type="spellEnd"/>
            <w:r w:rsidR="00583483" w:rsidRPr="00594DE3">
              <w:rPr>
                <w:rFonts w:ascii="Arial Narrow" w:hAnsi="Arial Narrow" w:cs="Arial"/>
                <w:b/>
                <w:sz w:val="22"/>
                <w:szCs w:val="22"/>
              </w:rPr>
              <w:t xml:space="preserve"> not</w:t>
            </w:r>
            <w:r w:rsidR="00583483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583483" w:rsidRPr="00757002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math; and</w:t>
            </w:r>
          </w:p>
          <w:p w:rsidR="00583483" w:rsidRPr="00757002" w:rsidRDefault="00583483" w:rsidP="00EB6BBA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</w:t>
            </w:r>
            <w:r w:rsidR="0024445D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 </w:t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4DE3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24445D" w:rsidRPr="00594DE3">
              <w:rPr>
                <w:rFonts w:ascii="Arial Narrow" w:hAnsi="Arial Narrow" w:cs="Arial"/>
                <w:b/>
                <w:sz w:val="22"/>
                <w:szCs w:val="22"/>
              </w:rPr>
              <w:t xml:space="preserve">is </w:t>
            </w:r>
            <w:r w:rsidR="0024445D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37735D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FC30E8"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4DE3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94DE3">
              <w:rPr>
                <w:rFonts w:ascii="Arial Narrow" w:hAnsi="Arial Narrow" w:cs="Arial"/>
                <w:b/>
                <w:sz w:val="22"/>
                <w:szCs w:val="22"/>
              </w:rPr>
              <w:t>is</w:t>
            </w:r>
            <w:proofErr w:type="spellEnd"/>
            <w:r w:rsidRPr="00594DE3">
              <w:rPr>
                <w:rFonts w:ascii="Arial Narrow" w:hAnsi="Arial Narrow" w:cs="Arial"/>
                <w:b/>
                <w:sz w:val="22"/>
                <w:szCs w:val="22"/>
              </w:rPr>
              <w:t xml:space="preserve"> not</w:t>
            </w:r>
            <w:r w:rsidRPr="00757002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 xml:space="preserve">  due to limited English proficiency.</w:t>
            </w:r>
          </w:p>
        </w:tc>
      </w:tr>
      <w:tr w:rsidR="00583483" w:rsidRPr="00245726" w:rsidTr="00EB6BBA">
        <w:trPr>
          <w:trHeight w:val="51"/>
        </w:trPr>
        <w:tc>
          <w:tcPr>
            <w:tcW w:w="11226" w:type="dxa"/>
            <w:gridSpan w:val="3"/>
            <w:tcBorders>
              <w:top w:val="single" w:sz="18" w:space="0" w:color="auto"/>
            </w:tcBorders>
          </w:tcPr>
          <w:p w:rsidR="00583483" w:rsidRPr="00245726" w:rsidRDefault="00693F2E" w:rsidP="00693F2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 be eligible as a child with Serious Emotional Disability, there must be evidence that the child’s e</w:t>
            </w:r>
            <w:r w:rsidR="00583483" w:rsidRPr="00245726">
              <w:rPr>
                <w:rFonts w:ascii="Arial Narrow" w:hAnsi="Arial Narrow" w:cs="Arial"/>
                <w:b/>
                <w:sz w:val="22"/>
                <w:szCs w:val="22"/>
              </w:rPr>
              <w:t xml:space="preserve">motional or social functioning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meets one or more of the following criteria</w:t>
            </w:r>
            <w:r w:rsidR="00583483" w:rsidRPr="00F04EDE">
              <w:rPr>
                <w:rFonts w:ascii="Arial Narrow" w:hAnsi="Arial Narrow" w:cs="Arial"/>
                <w:i/>
                <w:sz w:val="22"/>
                <w:szCs w:val="22"/>
              </w:rPr>
              <w:t xml:space="preserve">: </w:t>
            </w:r>
            <w:r w:rsidRPr="00F04EDE">
              <w:rPr>
                <w:rFonts w:ascii="Arial Narrow" w:hAnsi="Arial Narrow" w:cs="Arial"/>
                <w:i/>
                <w:sz w:val="22"/>
                <w:szCs w:val="22"/>
              </w:rPr>
              <w:t>(check all that apply)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A0669" w:rsidRPr="00FA066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ECEA </w:t>
            </w:r>
            <w:r w:rsidR="001138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2.08(3</w:t>
            </w:r>
            <w:r w:rsidR="00583483" w:rsidRPr="00FA066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</w:t>
            </w:r>
            <w:r w:rsidR="00FA0669" w:rsidRPr="00FA066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(a)</w:t>
            </w:r>
          </w:p>
        </w:tc>
      </w:tr>
      <w:tr w:rsidR="00393366" w:rsidRPr="00245726" w:rsidTr="00EB6BBA">
        <w:trPr>
          <w:trHeight w:val="20"/>
        </w:trPr>
        <w:tc>
          <w:tcPr>
            <w:tcW w:w="876" w:type="dxa"/>
          </w:tcPr>
          <w:p w:rsidR="00393366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846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113846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113846" w:rsidRPr="0024445D">
              <w:rPr>
                <w:rFonts w:ascii="Arial Narrow" w:hAnsi="Arial Narrow" w:cs="Arial"/>
                <w:sz w:val="21"/>
                <w:szCs w:val="21"/>
              </w:rPr>
              <w:t>Yes</w:t>
            </w:r>
          </w:p>
        </w:tc>
        <w:tc>
          <w:tcPr>
            <w:tcW w:w="777" w:type="dxa"/>
          </w:tcPr>
          <w:p w:rsidR="00393366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05402E" w:rsidRPr="0024445D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393366" w:rsidRPr="0024445D">
              <w:rPr>
                <w:rFonts w:ascii="Arial Narrow" w:hAnsi="Arial Narrow" w:cs="Arial"/>
                <w:sz w:val="21"/>
                <w:szCs w:val="21"/>
              </w:rPr>
              <w:t>No</w:t>
            </w:r>
          </w:p>
        </w:tc>
        <w:tc>
          <w:tcPr>
            <w:tcW w:w="9573" w:type="dxa"/>
          </w:tcPr>
          <w:p w:rsidR="00393366" w:rsidRPr="00757002" w:rsidRDefault="00C94B7E" w:rsidP="000D198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 i</w:t>
            </w:r>
            <w:r w:rsidR="000D198C">
              <w:rPr>
                <w:rFonts w:ascii="Arial Narrow" w:hAnsi="Arial Narrow" w:cs="Arial"/>
                <w:sz w:val="22"/>
                <w:szCs w:val="22"/>
              </w:rPr>
              <w:t xml:space="preserve">nability to learn that is not primarily the result of intellectual, sensory, or other health factors; </w:t>
            </w:r>
            <w:r w:rsidR="002F70A9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8D08C2" w:rsidRPr="00245726" w:rsidTr="00EB6BBA">
        <w:trPr>
          <w:trHeight w:val="30"/>
        </w:trPr>
        <w:tc>
          <w:tcPr>
            <w:tcW w:w="876" w:type="dxa"/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shd w:val="clear" w:color="auto" w:fill="auto"/>
          </w:tcPr>
          <w:p w:rsidR="008D08C2" w:rsidRPr="00757002" w:rsidRDefault="00C94B7E" w:rsidP="000D198C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 i</w:t>
            </w:r>
            <w:r w:rsidR="000D198C">
              <w:rPr>
                <w:rFonts w:ascii="Arial Narrow" w:hAnsi="Arial Narrow" w:cs="Arial"/>
                <w:sz w:val="22"/>
                <w:szCs w:val="22"/>
              </w:rPr>
              <w:t>nability to build or maintain interpersonal relationships, which significantly interfere with the child’s social development;</w:t>
            </w:r>
            <w:r w:rsidR="002F70A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F70A9" w:rsidRPr="002F70A9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8D08C2" w:rsidRPr="00245726" w:rsidTr="00EB6BBA">
        <w:trPr>
          <w:trHeight w:val="25"/>
        </w:trPr>
        <w:tc>
          <w:tcPr>
            <w:tcW w:w="876" w:type="dxa"/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shd w:val="clear" w:color="auto" w:fill="auto"/>
          </w:tcPr>
          <w:p w:rsidR="008D08C2" w:rsidRPr="00757002" w:rsidRDefault="000D198C" w:rsidP="000D198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Inappropriate types of behavior or feelings under normal circumstances;</w:t>
            </w:r>
            <w:r w:rsidR="002F70A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F70A9" w:rsidRPr="002F70A9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8D08C2" w:rsidRPr="00245726" w:rsidTr="00EB6BBA">
        <w:trPr>
          <w:trHeight w:val="25"/>
        </w:trPr>
        <w:tc>
          <w:tcPr>
            <w:tcW w:w="876" w:type="dxa"/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shd w:val="clear" w:color="auto" w:fill="auto"/>
          </w:tcPr>
          <w:p w:rsidR="008D08C2" w:rsidRPr="00757002" w:rsidRDefault="00054737" w:rsidP="00C94B7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C94B7E">
              <w:rPr>
                <w:rFonts w:ascii="Arial Narrow" w:hAnsi="Arial Narrow" w:cs="Arial"/>
                <w:sz w:val="22"/>
                <w:szCs w:val="22"/>
              </w:rPr>
              <w:t xml:space="preserve"> general </w:t>
            </w:r>
            <w:r w:rsidR="00C94B7E" w:rsidRPr="00757002">
              <w:rPr>
                <w:rFonts w:ascii="Arial Narrow" w:hAnsi="Arial Narrow" w:cs="Arial"/>
                <w:sz w:val="22"/>
                <w:szCs w:val="22"/>
              </w:rPr>
              <w:t xml:space="preserve">pervasive </w:t>
            </w:r>
            <w:r w:rsidR="00C94B7E">
              <w:rPr>
                <w:rFonts w:ascii="Arial Narrow" w:hAnsi="Arial Narrow" w:cs="Arial"/>
                <w:sz w:val="22"/>
                <w:szCs w:val="22"/>
              </w:rPr>
              <w:t xml:space="preserve">mood of unhappiness or </w:t>
            </w:r>
            <w:r w:rsidR="00C94B7E" w:rsidRPr="00757002">
              <w:rPr>
                <w:rFonts w:ascii="Arial Narrow" w:hAnsi="Arial Narrow" w:cs="Arial"/>
                <w:sz w:val="22"/>
                <w:szCs w:val="22"/>
              </w:rPr>
              <w:t>depression</w:t>
            </w:r>
            <w:r w:rsidR="00C94B7E">
              <w:rPr>
                <w:rFonts w:ascii="Arial Narrow" w:hAnsi="Arial Narrow" w:cs="Arial"/>
                <w:sz w:val="22"/>
                <w:szCs w:val="22"/>
              </w:rPr>
              <w:t>;</w:t>
            </w:r>
            <w:r w:rsidR="002F70A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F70A9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8D08C2" w:rsidRPr="00245726" w:rsidTr="00EB6BBA">
        <w:trPr>
          <w:trHeight w:val="20"/>
        </w:trPr>
        <w:tc>
          <w:tcPr>
            <w:tcW w:w="876" w:type="dxa"/>
            <w:tcBorders>
              <w:bottom w:val="single" w:sz="18" w:space="0" w:color="auto"/>
            </w:tcBorders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tcBorders>
              <w:bottom w:val="single" w:sz="18" w:space="0" w:color="auto"/>
            </w:tcBorders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bottom w:val="single" w:sz="18" w:space="0" w:color="auto"/>
            </w:tcBorders>
          </w:tcPr>
          <w:p w:rsidR="00DB254E" w:rsidRPr="00757002" w:rsidRDefault="00C94B7E" w:rsidP="000D198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 tendency to develop physical symptoms or fears associated with personal or school problems</w:t>
            </w:r>
          </w:p>
        </w:tc>
      </w:tr>
      <w:tr w:rsidR="008D08C2" w:rsidRPr="00245726" w:rsidTr="00EB6BBA">
        <w:trPr>
          <w:trHeight w:val="85"/>
        </w:trPr>
        <w:tc>
          <w:tcPr>
            <w:tcW w:w="1122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D08C2" w:rsidRPr="00757002" w:rsidRDefault="00693F2E" w:rsidP="00693F2E">
            <w:pPr>
              <w:tabs>
                <w:tab w:val="right" w:leader="underscore" w:pos="720"/>
                <w:tab w:val="left" w:pos="1440"/>
                <w:tab w:val="right" w:leader="underscore" w:pos="1800"/>
                <w:tab w:val="left" w:pos="2340"/>
              </w:tabs>
              <w:ind w:right="360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The Serious Emotional Disability, as described above, prevents the child from receiving reasonable</w:t>
            </w:r>
            <w:r w:rsidR="004153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95F5D">
              <w:rPr>
                <w:rFonts w:ascii="Arial Narrow" w:hAnsi="Arial Narrow" w:cs="Arial"/>
                <w:b/>
                <w:sz w:val="22"/>
                <w:szCs w:val="22"/>
              </w:rPr>
              <w:t>educational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benefit from general education, as evidence</w:t>
            </w:r>
            <w:r w:rsidR="00280EE8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by </w:t>
            </w:r>
            <w:r w:rsidR="008D08C2" w:rsidRPr="00717078">
              <w:rPr>
                <w:rFonts w:ascii="Arial Narrow" w:hAnsi="Arial Narrow" w:cs="Arial"/>
                <w:b/>
                <w:sz w:val="22"/>
                <w:szCs w:val="22"/>
              </w:rPr>
              <w:t>one or both of the following criteri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a: </w:t>
            </w:r>
            <w:r w:rsidRPr="00F04EDE">
              <w:rPr>
                <w:rFonts w:ascii="Arial Narrow" w:hAnsi="Arial Narrow" w:cs="Arial"/>
                <w:i/>
                <w:sz w:val="22"/>
                <w:szCs w:val="22"/>
              </w:rPr>
              <w:t>(check all that apply)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13846" w:rsidRPr="00F04ED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ECEA 2.08(3</w:t>
            </w:r>
            <w:r w:rsidR="00E9482E" w:rsidRPr="00F04ED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)(b)</w:t>
            </w:r>
          </w:p>
        </w:tc>
      </w:tr>
      <w:tr w:rsidR="008D08C2" w:rsidRPr="00245726" w:rsidTr="00EB6BBA">
        <w:trPr>
          <w:trHeight w:val="51"/>
        </w:trPr>
        <w:tc>
          <w:tcPr>
            <w:tcW w:w="876" w:type="dxa"/>
            <w:tcBorders>
              <w:top w:val="nil"/>
              <w:left w:val="single" w:sz="18" w:space="0" w:color="auto"/>
              <w:bottom w:val="nil"/>
            </w:tcBorders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tcBorders>
              <w:top w:val="nil"/>
            </w:tcBorders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top w:val="nil"/>
              <w:right w:val="single" w:sz="18" w:space="0" w:color="auto"/>
            </w:tcBorders>
            <w:shd w:val="clear" w:color="auto" w:fill="auto"/>
          </w:tcPr>
          <w:p w:rsidR="008D08C2" w:rsidRPr="00757002" w:rsidRDefault="005E4CC1" w:rsidP="00EB6BBA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Academic functioning: </w:t>
            </w:r>
            <w:r w:rsidR="008D08C2" w:rsidRPr="00757002">
              <w:rPr>
                <w:rFonts w:ascii="Arial Narrow" w:hAnsi="Arial Narrow" w:cs="Arial"/>
                <w:sz w:val="22"/>
                <w:szCs w:val="22"/>
              </w:rPr>
              <w:t xml:space="preserve">an inability to receive reasonable educational benefit from </w:t>
            </w:r>
            <w:r w:rsidR="005111EB" w:rsidRPr="00757002">
              <w:rPr>
                <w:rFonts w:ascii="Arial Narrow" w:hAnsi="Arial Narrow" w:cs="Arial"/>
                <w:sz w:val="22"/>
                <w:szCs w:val="22"/>
              </w:rPr>
              <w:t>general</w:t>
            </w:r>
            <w:r w:rsidR="008D08C2" w:rsidRPr="00757002">
              <w:rPr>
                <w:rFonts w:ascii="Arial Narrow" w:hAnsi="Arial Narrow" w:cs="Arial"/>
                <w:sz w:val="22"/>
                <w:szCs w:val="22"/>
              </w:rPr>
              <w:t xml:space="preserve"> education which is not primarily the result of intellectual, sensory or other health factors, but due to the identified </w:t>
            </w:r>
            <w:r w:rsidR="00C94B7E">
              <w:rPr>
                <w:rFonts w:ascii="Arial Narrow" w:hAnsi="Arial Narrow" w:cs="Arial"/>
                <w:sz w:val="22"/>
                <w:szCs w:val="22"/>
              </w:rPr>
              <w:t>serious emotional disability</w:t>
            </w:r>
            <w:r w:rsidR="008D08C2" w:rsidRPr="00757002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280EE8" w:rsidRPr="00280EE8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8D08C2" w:rsidRPr="00245726" w:rsidTr="00EB6BBA">
        <w:trPr>
          <w:trHeight w:val="51"/>
        </w:trPr>
        <w:tc>
          <w:tcPr>
            <w:tcW w:w="876" w:type="dxa"/>
            <w:tcBorders>
              <w:top w:val="nil"/>
              <w:left w:val="single" w:sz="18" w:space="0" w:color="auto"/>
              <w:bottom w:val="nil"/>
            </w:tcBorders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right w:val="single" w:sz="18" w:space="0" w:color="auto"/>
            </w:tcBorders>
            <w:shd w:val="clear" w:color="auto" w:fill="auto"/>
          </w:tcPr>
          <w:p w:rsidR="008D08C2" w:rsidRPr="00757002" w:rsidRDefault="008D08C2" w:rsidP="00EB6BBA">
            <w:pPr>
              <w:rPr>
                <w:rFonts w:ascii="Arial Narrow" w:hAnsi="Arial Narrow" w:cs="Arial"/>
                <w:sz w:val="22"/>
                <w:szCs w:val="22"/>
              </w:rPr>
            </w:pPr>
            <w:r w:rsidRPr="00757002">
              <w:rPr>
                <w:rFonts w:ascii="Arial Narrow" w:hAnsi="Arial Narrow" w:cs="Arial"/>
                <w:sz w:val="22"/>
                <w:szCs w:val="22"/>
              </w:rPr>
              <w:t>Social/emotional functioning:  an inability to build or maint</w:t>
            </w:r>
            <w:r w:rsidR="00C94B7E">
              <w:rPr>
                <w:rFonts w:ascii="Arial Narrow" w:hAnsi="Arial Narrow" w:cs="Arial"/>
                <w:sz w:val="22"/>
                <w:szCs w:val="22"/>
              </w:rPr>
              <w:t xml:space="preserve">ain interpersonal relationships, 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>which significantly interferes with the child's social development.  Social development involves those adaptive behaviors and social skills which enable a child to meet environmental demands an</w:t>
            </w:r>
            <w:r w:rsidR="00C94B7E">
              <w:rPr>
                <w:rFonts w:ascii="Arial Narrow" w:hAnsi="Arial Narrow" w:cs="Arial"/>
                <w:sz w:val="22"/>
                <w:szCs w:val="22"/>
              </w:rPr>
              <w:t xml:space="preserve">d assume responsibility for his or her 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>welfare.</w:t>
            </w:r>
          </w:p>
        </w:tc>
      </w:tr>
      <w:tr w:rsidR="008D08C2" w:rsidRPr="00245726" w:rsidTr="00EB6BBA">
        <w:trPr>
          <w:trHeight w:val="128"/>
        </w:trPr>
        <w:tc>
          <w:tcPr>
            <w:tcW w:w="1122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8D08C2" w:rsidRPr="00757002" w:rsidRDefault="008D08C2" w:rsidP="00EB6BBA">
            <w:pPr>
              <w:ind w:left="306" w:right="-1" w:hanging="306"/>
              <w:rPr>
                <w:rFonts w:ascii="Arial Narrow" w:hAnsi="Arial Narrow" w:cs="Arial"/>
                <w:sz w:val="22"/>
                <w:szCs w:val="22"/>
              </w:rPr>
            </w:pPr>
            <w:r w:rsidRPr="00717078">
              <w:rPr>
                <w:rFonts w:ascii="Arial Narrow" w:hAnsi="Arial Narrow" w:cs="Arial"/>
                <w:b/>
                <w:sz w:val="22"/>
                <w:szCs w:val="22"/>
              </w:rPr>
              <w:t>All four of the following qualifiers shall be documented for either of the above criteria demonstrated:</w:t>
            </w:r>
            <w:r w:rsidR="00FA0669" w:rsidRPr="0075700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13846" w:rsidRPr="00F04ED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ECEA 2.08(3</w:t>
            </w:r>
            <w:r w:rsidR="00E9482E" w:rsidRPr="00F04ED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)(c)</w:t>
            </w:r>
          </w:p>
        </w:tc>
      </w:tr>
      <w:tr w:rsidR="008D08C2" w:rsidRPr="00245726" w:rsidTr="00EB6BBA">
        <w:trPr>
          <w:trHeight w:val="127"/>
        </w:trPr>
        <w:tc>
          <w:tcPr>
            <w:tcW w:w="876" w:type="dxa"/>
            <w:tcBorders>
              <w:top w:val="nil"/>
              <w:left w:val="single" w:sz="18" w:space="0" w:color="auto"/>
              <w:bottom w:val="nil"/>
            </w:tcBorders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right w:val="single" w:sz="18" w:space="0" w:color="auto"/>
            </w:tcBorders>
            <w:shd w:val="clear" w:color="auto" w:fill="auto"/>
          </w:tcPr>
          <w:p w:rsidR="008D08C2" w:rsidRPr="00757002" w:rsidRDefault="008D08C2" w:rsidP="00BE6F5C">
            <w:pPr>
              <w:ind w:left="12" w:right="-1" w:hanging="12"/>
              <w:rPr>
                <w:rFonts w:ascii="Arial Narrow" w:hAnsi="Arial Narrow" w:cs="Arial"/>
                <w:sz w:val="22"/>
                <w:szCs w:val="22"/>
              </w:rPr>
            </w:pPr>
            <w:r w:rsidRPr="00757002">
              <w:rPr>
                <w:rFonts w:ascii="Arial Narrow" w:hAnsi="Arial Narrow" w:cs="Arial"/>
                <w:sz w:val="22"/>
                <w:szCs w:val="22"/>
              </w:rPr>
              <w:t xml:space="preserve">A variety of instructional and/or behavioral interventions were implemented within </w:t>
            </w:r>
            <w:r w:rsidR="005111EB" w:rsidRPr="00757002">
              <w:rPr>
                <w:rFonts w:ascii="Arial Narrow" w:hAnsi="Arial Narrow" w:cs="Arial"/>
                <w:sz w:val="22"/>
                <w:szCs w:val="22"/>
              </w:rPr>
              <w:t>general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 xml:space="preserve"> education and the child remains unable to receive reasonable educational benefit from </w:t>
            </w:r>
            <w:r w:rsidR="005111EB" w:rsidRPr="00757002">
              <w:rPr>
                <w:rFonts w:ascii="Arial Narrow" w:hAnsi="Arial Narrow" w:cs="Arial"/>
                <w:sz w:val="22"/>
                <w:szCs w:val="22"/>
              </w:rPr>
              <w:t>general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 xml:space="preserve"> education</w:t>
            </w:r>
            <w:r w:rsidR="00280EE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280EE8" w:rsidRPr="00280EE8">
              <w:rPr>
                <w:rFonts w:ascii="Arial Narrow" w:hAnsi="Arial Narrow" w:cs="Arial"/>
                <w:b/>
                <w:sz w:val="22"/>
                <w:szCs w:val="22"/>
              </w:rPr>
              <w:t>and</w:t>
            </w:r>
          </w:p>
        </w:tc>
      </w:tr>
      <w:tr w:rsidR="008D08C2" w:rsidRPr="00245726" w:rsidTr="00EB6BBA">
        <w:trPr>
          <w:trHeight w:val="51"/>
        </w:trPr>
        <w:tc>
          <w:tcPr>
            <w:tcW w:w="876" w:type="dxa"/>
            <w:tcBorders>
              <w:top w:val="nil"/>
              <w:left w:val="single" w:sz="18" w:space="0" w:color="auto"/>
              <w:bottom w:val="nil"/>
            </w:tcBorders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right w:val="single" w:sz="18" w:space="0" w:color="auto"/>
            </w:tcBorders>
            <w:shd w:val="clear" w:color="auto" w:fill="auto"/>
          </w:tcPr>
          <w:p w:rsidR="008D08C2" w:rsidRPr="00757002" w:rsidRDefault="008D08C2" w:rsidP="00BE6F5C">
            <w:pPr>
              <w:ind w:left="12" w:right="-1"/>
              <w:rPr>
                <w:rFonts w:ascii="Arial Narrow" w:hAnsi="Arial Narrow" w:cs="Arial"/>
                <w:sz w:val="22"/>
                <w:szCs w:val="22"/>
              </w:rPr>
            </w:pPr>
            <w:r w:rsidRPr="00757002">
              <w:rPr>
                <w:rFonts w:ascii="Arial Narrow" w:hAnsi="Arial Narrow" w:cs="Arial"/>
                <w:sz w:val="22"/>
                <w:szCs w:val="22"/>
              </w:rPr>
              <w:t>Indicators of social/emotional dysfunction exist to a marked degree; that is, at a rate and intensity above the c</w:t>
            </w:r>
            <w:r w:rsidR="00BE6F5C">
              <w:rPr>
                <w:rFonts w:ascii="Arial Narrow" w:hAnsi="Arial Narrow" w:cs="Arial"/>
                <w:sz w:val="22"/>
                <w:szCs w:val="22"/>
              </w:rPr>
              <w:t xml:space="preserve">hild's peers and outside of his or her 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>cultural norms and the range of normal development expectations</w:t>
            </w:r>
            <w:r w:rsidR="00280EE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280EE8" w:rsidRPr="00280EE8">
              <w:rPr>
                <w:rFonts w:ascii="Arial Narrow" w:hAnsi="Arial Narrow" w:cs="Arial"/>
                <w:b/>
                <w:sz w:val="22"/>
                <w:szCs w:val="22"/>
              </w:rPr>
              <w:t>and</w:t>
            </w:r>
          </w:p>
        </w:tc>
      </w:tr>
      <w:tr w:rsidR="008D08C2" w:rsidRPr="00245726" w:rsidTr="00EB6BBA">
        <w:trPr>
          <w:trHeight w:val="51"/>
        </w:trPr>
        <w:tc>
          <w:tcPr>
            <w:tcW w:w="876" w:type="dxa"/>
            <w:tcBorders>
              <w:top w:val="nil"/>
              <w:left w:val="single" w:sz="18" w:space="0" w:color="auto"/>
              <w:bottom w:val="nil"/>
            </w:tcBorders>
          </w:tcPr>
          <w:p w:rsidR="008D08C2" w:rsidRPr="0024445D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tc>
          <w:tcPr>
            <w:tcW w:w="777" w:type="dxa"/>
            <w:tcBorders>
              <w:bottom w:val="nil"/>
            </w:tcBorders>
            <w:shd w:val="clear" w:color="auto" w:fill="auto"/>
          </w:tcPr>
          <w:p w:rsidR="008D08C2" w:rsidRPr="0024445D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24445D" w:rsidRPr="00757002" w:rsidRDefault="008D08C2" w:rsidP="00BE6F5C">
            <w:pPr>
              <w:ind w:left="12" w:right="-1" w:hanging="12"/>
              <w:rPr>
                <w:rFonts w:ascii="Arial Narrow" w:hAnsi="Arial Narrow" w:cs="Arial"/>
                <w:sz w:val="22"/>
                <w:szCs w:val="22"/>
              </w:rPr>
            </w:pPr>
            <w:r w:rsidRPr="00757002">
              <w:rPr>
                <w:rFonts w:ascii="Arial Narrow" w:hAnsi="Arial Narrow" w:cs="Arial"/>
                <w:sz w:val="22"/>
                <w:szCs w:val="22"/>
              </w:rPr>
              <w:t>Indicators of social/emotional dysfunction are pervasive, and are observable in at least two different settings</w:t>
            </w:r>
            <w:r w:rsidR="00BE6F5C">
              <w:rPr>
                <w:rFonts w:ascii="Arial Narrow" w:hAnsi="Arial Narrow" w:cs="Arial"/>
                <w:sz w:val="22"/>
                <w:szCs w:val="22"/>
              </w:rPr>
              <w:t xml:space="preserve"> within the child's environment. For children who are attending school, one of the environments shall 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>be school</w:t>
            </w:r>
            <w:r w:rsidR="00280EE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280EE8" w:rsidRPr="00280EE8">
              <w:rPr>
                <w:rFonts w:ascii="Arial Narrow" w:hAnsi="Arial Narrow" w:cs="Arial"/>
                <w:b/>
                <w:sz w:val="22"/>
                <w:szCs w:val="22"/>
              </w:rPr>
              <w:t>and</w:t>
            </w:r>
          </w:p>
        </w:tc>
      </w:tr>
      <w:tr w:rsidR="008D08C2" w:rsidRPr="00245726" w:rsidTr="00EB6BBA">
        <w:trPr>
          <w:trHeight w:val="127"/>
        </w:trPr>
        <w:tc>
          <w:tcPr>
            <w:tcW w:w="87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D08C2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  <w:p w:rsidR="0092322D" w:rsidRDefault="0092322D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Pr="008D26DE" w:rsidRDefault="008D26DE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8D26DE">
              <w:rPr>
                <w:rFonts w:ascii="Arial Narrow" w:hAnsi="Arial Narrow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7109460" cy="15240"/>
                      <wp:effectExtent l="0" t="0" r="3429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9460" cy="152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A145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8.1pt" to="555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" strokecolor="black [3040]" strokeweight="1.5pt"/>
                  </w:pict>
                </mc:Fallback>
              </mc:AlternateContent>
            </w:r>
          </w:p>
          <w:p w:rsidR="0092322D" w:rsidRDefault="0092322D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Pr="0024445D" w:rsidRDefault="0092322D" w:rsidP="0092322D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  <w:r>
              <w:rPr>
                <w:rFonts w:ascii="Arial Narrow" w:hAnsi="Arial Narrow" w:cs="Arial"/>
                <w:sz w:val="21"/>
                <w:szCs w:val="21"/>
              </w:rPr>
              <w:t xml:space="preserve">      </w:t>
            </w:r>
          </w:p>
        </w:tc>
        <w:tc>
          <w:tcPr>
            <w:tcW w:w="777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D08C2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24445D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  <w:p w:rsidR="0092322D" w:rsidRDefault="0092322D" w:rsidP="00EB6BBA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8D26DE" w:rsidRDefault="008D26DE" w:rsidP="00EB6BBA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rPr>
                <w:rFonts w:ascii="Arial Narrow" w:hAnsi="Arial Narrow" w:cs="Arial"/>
                <w:sz w:val="21"/>
                <w:szCs w:val="21"/>
              </w:rPr>
            </w:pPr>
          </w:p>
          <w:p w:rsidR="0092322D" w:rsidRDefault="0092322D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Pr="0024445D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"/>
                <w:sz w:val="21"/>
                <w:szCs w:val="21"/>
              </w:rPr>
              <w:t>No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</w:t>
            </w:r>
          </w:p>
          <w:p w:rsidR="0092322D" w:rsidRPr="0024445D" w:rsidRDefault="0092322D" w:rsidP="00EB6BBA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9573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239C3" w:rsidRDefault="008D08C2" w:rsidP="00EB6BBA">
            <w:pPr>
              <w:ind w:left="12" w:right="-1" w:hanging="12"/>
              <w:rPr>
                <w:rFonts w:ascii="Arial Narrow" w:hAnsi="Arial Narrow" w:cs="Arial"/>
                <w:sz w:val="22"/>
                <w:szCs w:val="22"/>
              </w:rPr>
            </w:pPr>
            <w:r w:rsidRPr="00757002">
              <w:rPr>
                <w:rFonts w:ascii="Arial Narrow" w:hAnsi="Arial Narrow" w:cs="Arial"/>
                <w:sz w:val="22"/>
                <w:szCs w:val="22"/>
              </w:rPr>
              <w:t>Indicators of social/emotional dysfunction have existed over a period of time</w:t>
            </w:r>
            <w:r w:rsidR="00BE6F5C">
              <w:rPr>
                <w:rFonts w:ascii="Arial Narrow" w:hAnsi="Arial Narrow" w:cs="Arial"/>
                <w:sz w:val="22"/>
                <w:szCs w:val="22"/>
              </w:rPr>
              <w:t xml:space="preserve"> and are not isolated incidents, </w:t>
            </w:r>
            <w:r w:rsidRPr="00757002">
              <w:rPr>
                <w:rFonts w:ascii="Arial Narrow" w:hAnsi="Arial Narrow" w:cs="Arial"/>
                <w:sz w:val="22"/>
                <w:szCs w:val="22"/>
              </w:rPr>
              <w:t>or transient, situational responses to stressors in the child's environment.</w:t>
            </w:r>
          </w:p>
          <w:p w:rsidR="0092322D" w:rsidRDefault="0092322D" w:rsidP="001167D1">
            <w:pPr>
              <w:ind w:right="-1"/>
              <w:rPr>
                <w:rFonts w:ascii="Arial Narrow" w:hAnsi="Arial Narrow" w:cs="Arial"/>
                <w:sz w:val="22"/>
                <w:szCs w:val="22"/>
              </w:rPr>
            </w:pPr>
          </w:p>
          <w:p w:rsidR="0092322D" w:rsidRDefault="001167D1" w:rsidP="008D26DE">
            <w:pPr>
              <w:ind w:right="-1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8E505C">
              <w:rPr>
                <w:rFonts w:ascii="Arial Narrow" w:hAnsi="Arial Narrow" w:cs="Arial"/>
                <w:b/>
                <w:sz w:val="22"/>
                <w:szCs w:val="22"/>
              </w:rPr>
              <w:t>The term “serious emotional disability” does not apply to children who are socially maladjusted, unless it is determined that they have a serious emotional disability in addition to social maladjustment.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232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ECEA 2.08(3)(d)</w:t>
            </w:r>
          </w:p>
          <w:p w:rsidR="008D26DE" w:rsidRDefault="008D26DE" w:rsidP="008D26DE">
            <w:pPr>
              <w:ind w:right="-1"/>
              <w:rPr>
                <w:rFonts w:ascii="Arial Narrow" w:hAnsi="Arial Narrow" w:cs="Arial"/>
                <w:sz w:val="22"/>
                <w:szCs w:val="22"/>
              </w:rPr>
            </w:pPr>
          </w:p>
          <w:p w:rsidR="0092322D" w:rsidRDefault="001167D1" w:rsidP="008D26DE">
            <w:pPr>
              <w:ind w:right="-1"/>
              <w:rPr>
                <w:rFonts w:ascii="Arial Narrow" w:hAnsi="Arial Narrow" w:cs="Arial"/>
                <w:sz w:val="22"/>
                <w:szCs w:val="22"/>
              </w:rPr>
            </w:pPr>
            <w:r w:rsidRPr="00DB254E">
              <w:rPr>
                <w:rFonts w:ascii="Arial Narrow" w:hAnsi="Arial Narrow" w:cs="Arial"/>
                <w:sz w:val="22"/>
                <w:szCs w:val="22"/>
              </w:rPr>
              <w:t>The multidisc</w:t>
            </w:r>
            <w:r>
              <w:rPr>
                <w:rFonts w:ascii="Arial Narrow" w:hAnsi="Arial Narrow" w:cs="Arial"/>
                <w:sz w:val="22"/>
                <w:szCs w:val="22"/>
              </w:rPr>
              <w:t>iplinary team has determined</w:t>
            </w:r>
            <w:r w:rsidRPr="00DB254E">
              <w:rPr>
                <w:rFonts w:ascii="Arial Narrow" w:hAnsi="Arial Narrow" w:cs="Arial"/>
                <w:sz w:val="22"/>
                <w:szCs w:val="22"/>
              </w:rPr>
              <w:t xml:space="preserve"> that this child is not a child whose sole area of identified </w:t>
            </w:r>
            <w:r>
              <w:rPr>
                <w:rFonts w:ascii="Arial Narrow" w:hAnsi="Arial Narrow" w:cs="Arial"/>
                <w:sz w:val="22"/>
                <w:szCs w:val="22"/>
              </w:rPr>
              <w:t>concern is</w:t>
            </w:r>
            <w:r w:rsidRPr="00DB254E">
              <w:rPr>
                <w:rFonts w:ascii="Arial Narrow" w:hAnsi="Arial Narrow" w:cs="Arial"/>
                <w:sz w:val="22"/>
                <w:szCs w:val="22"/>
              </w:rPr>
              <w:t xml:space="preserve">            </w:t>
            </w:r>
          </w:p>
          <w:p w:rsidR="001167D1" w:rsidRPr="00757002" w:rsidRDefault="001167D1" w:rsidP="0092322D">
            <w:pPr>
              <w:ind w:right="-1"/>
              <w:rPr>
                <w:rFonts w:ascii="Arial Narrow" w:hAnsi="Arial Narrow" w:cs="Arial"/>
                <w:sz w:val="22"/>
                <w:szCs w:val="22"/>
              </w:rPr>
            </w:pPr>
            <w:r w:rsidRPr="00DB254E">
              <w:rPr>
                <w:rFonts w:ascii="Arial Narrow" w:hAnsi="Arial Narrow" w:cs="Arial"/>
                <w:sz w:val="22"/>
                <w:szCs w:val="22"/>
              </w:rPr>
              <w:t>social maladjustment.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B254E">
              <w:rPr>
                <w:rFonts w:ascii="Arial Narrow" w:hAnsi="Arial Narrow" w:cs="Arial"/>
                <w:i/>
                <w:sz w:val="22"/>
                <w:szCs w:val="22"/>
              </w:rPr>
              <w:t>The answer must be yes in order to continue with the determination of SED eligibility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D08C2" w:rsidRPr="00245726" w:rsidTr="00EB6BBA">
        <w:trPr>
          <w:trHeight w:val="20"/>
        </w:trPr>
        <w:tc>
          <w:tcPr>
            <w:tcW w:w="876" w:type="dxa"/>
            <w:tcBorders>
              <w:bottom w:val="single" w:sz="18" w:space="0" w:color="auto"/>
            </w:tcBorders>
          </w:tcPr>
          <w:p w:rsidR="008D08C2" w:rsidRPr="00EB6BBA" w:rsidRDefault="00FC30E8" w:rsidP="00EB6BBA">
            <w:pPr>
              <w:ind w:right="72"/>
              <w:rPr>
                <w:rFonts w:ascii="Arial Narrow" w:hAnsi="Arial Narrow" w:cs="Arial"/>
                <w:sz w:val="21"/>
                <w:szCs w:val="21"/>
              </w:rPr>
            </w:pPr>
            <w:r w:rsidRPr="00EB6BBA"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8C2" w:rsidRPr="00EB6BBA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 w:rsidRPr="00EB6BBA"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r w:rsidR="008D08C2" w:rsidRPr="00EB6BBA">
              <w:rPr>
                <w:rFonts w:ascii="Arial Narrow" w:hAnsi="Arial Narrow" w:cs="Arial"/>
                <w:sz w:val="21"/>
                <w:szCs w:val="21"/>
              </w:rPr>
              <w:t xml:space="preserve"> Yes</w:t>
            </w:r>
          </w:p>
        </w:tc>
        <w:bookmarkStart w:id="0" w:name="Check2"/>
        <w:tc>
          <w:tcPr>
            <w:tcW w:w="777" w:type="dxa"/>
            <w:tcBorders>
              <w:bottom w:val="single" w:sz="18" w:space="0" w:color="auto"/>
            </w:tcBorders>
          </w:tcPr>
          <w:p w:rsidR="008D08C2" w:rsidRPr="00EB6BBA" w:rsidRDefault="00FC30E8" w:rsidP="00EB6BBA">
            <w:pPr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078">
              <w:rPr>
                <w:rFonts w:ascii="Arial Narrow" w:hAnsi="Arial Narrow" w:cs="Arial"/>
                <w:sz w:val="21"/>
                <w:szCs w:val="21"/>
              </w:rPr>
              <w:instrText xml:space="preserve"> FORMCHECKBOX </w:instrText>
            </w:r>
            <w:r w:rsidR="0037735D">
              <w:rPr>
                <w:rFonts w:ascii="Arial Narrow" w:hAnsi="Arial Narrow" w:cs="Arial"/>
                <w:sz w:val="21"/>
                <w:szCs w:val="21"/>
              </w:rPr>
            </w:r>
            <w:r w:rsidR="0037735D">
              <w:rPr>
                <w:rFonts w:ascii="Arial Narrow" w:hAnsi="Arial Narrow" w:cs="Arial"/>
                <w:sz w:val="21"/>
                <w:szCs w:val="21"/>
              </w:rPr>
              <w:fldChar w:fldCharType="separate"/>
            </w:r>
            <w:r>
              <w:rPr>
                <w:rFonts w:ascii="Arial Narrow" w:hAnsi="Arial Narrow" w:cs="Arial"/>
                <w:sz w:val="21"/>
                <w:szCs w:val="21"/>
              </w:rPr>
              <w:fldChar w:fldCharType="end"/>
            </w:r>
            <w:bookmarkEnd w:id="0"/>
            <w:r w:rsidR="008D08C2" w:rsidRPr="00EB6BBA">
              <w:rPr>
                <w:rFonts w:ascii="Arial Narrow" w:hAnsi="Arial Narrow" w:cs="Arial"/>
                <w:sz w:val="21"/>
                <w:szCs w:val="21"/>
              </w:rPr>
              <w:t xml:space="preserve"> No</w:t>
            </w:r>
          </w:p>
        </w:tc>
        <w:tc>
          <w:tcPr>
            <w:tcW w:w="9573" w:type="dxa"/>
            <w:tcBorders>
              <w:bottom w:val="single" w:sz="18" w:space="0" w:color="auto"/>
            </w:tcBorders>
          </w:tcPr>
          <w:p w:rsidR="008D08C2" w:rsidRPr="009B0F42" w:rsidRDefault="00054737" w:rsidP="00EB6BBA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The child</w:t>
            </w:r>
            <w:r w:rsidR="008D08C2" w:rsidRPr="009B0F42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</w:t>
            </w:r>
            <w:r w:rsidR="00D43EEF" w:rsidRPr="009B0F42">
              <w:rPr>
                <w:rFonts w:ascii="Arial Narrow" w:hAnsi="Arial Narrow" w:cs="Arial"/>
                <w:b/>
                <w:sz w:val="22"/>
                <w:szCs w:val="22"/>
              </w:rPr>
              <w:t xml:space="preserve"> and is eligible for special education.</w:t>
            </w:r>
          </w:p>
        </w:tc>
      </w:tr>
    </w:tbl>
    <w:p w:rsidR="00EB6BBA" w:rsidRDefault="00EB6BBA">
      <w:r>
        <w:br w:type="page"/>
      </w:r>
      <w:bookmarkStart w:id="1" w:name="_GoBack"/>
      <w:bookmarkEnd w:id="1"/>
    </w:p>
    <w:tbl>
      <w:tblPr>
        <w:tblW w:w="112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339"/>
        <w:gridCol w:w="1701"/>
      </w:tblGrid>
      <w:tr w:rsidR="00EB6BBA" w:rsidRPr="00245726" w:rsidTr="000D198C">
        <w:trPr>
          <w:trHeight w:val="85"/>
          <w:jc w:val="center"/>
        </w:trPr>
        <w:tc>
          <w:tcPr>
            <w:tcW w:w="1122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EB6BBA" w:rsidRPr="00817FC5" w:rsidRDefault="00EB6BBA" w:rsidP="003D0214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mallCaps/>
                <w:sz w:val="22"/>
                <w:szCs w:val="20"/>
              </w:rPr>
            </w:pPr>
            <w:r w:rsidRPr="00817FC5">
              <w:rPr>
                <w:rFonts w:ascii="Arial Narrow" w:hAnsi="Arial Narrow" w:cs="Arial"/>
                <w:b/>
                <w:smallCaps/>
                <w:sz w:val="22"/>
                <w:szCs w:val="20"/>
              </w:rPr>
              <w:lastRenderedPageBreak/>
              <w:t xml:space="preserve">Determination of Eligibility: </w:t>
            </w:r>
            <w:r w:rsidR="003D0214" w:rsidRPr="00817FC5">
              <w:rPr>
                <w:rFonts w:ascii="Arial Narrow" w:hAnsi="Arial Narrow" w:cs="Arial"/>
                <w:b/>
                <w:smallCaps/>
                <w:sz w:val="22"/>
                <w:szCs w:val="20"/>
              </w:rPr>
              <w:t>Serious</w:t>
            </w:r>
            <w:r w:rsidRPr="00817FC5">
              <w:rPr>
                <w:rFonts w:ascii="Arial Narrow" w:hAnsi="Arial Narrow" w:cs="Arial"/>
                <w:b/>
                <w:smallCaps/>
                <w:sz w:val="22"/>
                <w:szCs w:val="20"/>
              </w:rPr>
              <w:t xml:space="preserve"> Emotional Disability</w:t>
            </w:r>
          </w:p>
        </w:tc>
      </w:tr>
      <w:tr w:rsidR="008D08C2" w:rsidRPr="00245726" w:rsidTr="00EB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5726">
              <w:rPr>
                <w:rFonts w:ascii="Arial Narrow" w:hAnsi="Arial Narrow" w:cs="Arial"/>
                <w:b/>
                <w:sz w:val="22"/>
                <w:szCs w:val="22"/>
              </w:rPr>
              <w:t xml:space="preserve">Multidisciplinary Team Members </w:t>
            </w:r>
            <w:r w:rsidR="00296B24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296B24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C.F.R. </w:t>
            </w:r>
            <w:r w:rsid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§</w:t>
            </w:r>
            <w:r w:rsidR="00296B24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A0669" w:rsidRPr="00296B2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300.306(a)(1); ECEA 4.02(6)(b)</w:t>
            </w:r>
          </w:p>
        </w:tc>
        <w:tc>
          <w:tcPr>
            <w:tcW w:w="3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8D08C2" w:rsidRPr="00245726" w:rsidRDefault="008D08C2" w:rsidP="00393366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5726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8D08C2" w:rsidRPr="00245726" w:rsidTr="00EB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8D08C2" w:rsidRPr="00245726" w:rsidRDefault="008D08C2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8D08C2" w:rsidRPr="00245726" w:rsidTr="00EB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8D08C2" w:rsidRPr="00245726" w:rsidRDefault="008D08C2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righ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8D08C2" w:rsidRPr="00245726" w:rsidTr="00EB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8D08C2" w:rsidRPr="00245726" w:rsidRDefault="008D08C2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8D08C2" w:rsidRPr="00245726" w:rsidTr="00EB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8D08C2" w:rsidRPr="00245726" w:rsidRDefault="008D08C2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8D08C2" w:rsidRPr="00245726" w:rsidTr="00EB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8D08C2" w:rsidRPr="00245726" w:rsidRDefault="008D08C2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8D08C2" w:rsidRPr="00245726" w:rsidTr="00EB6B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D08C2" w:rsidRPr="00245726" w:rsidRDefault="008D08C2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242A8D" w:rsidRPr="00242A8D" w:rsidRDefault="00242A8D" w:rsidP="00CB1D84">
      <w:pPr>
        <w:rPr>
          <w:rFonts w:ascii="Arial Narrow" w:hAnsi="Arial Narrow" w:cs="Arial"/>
          <w:b/>
          <w:i/>
          <w:sz w:val="16"/>
          <w:szCs w:val="16"/>
        </w:rPr>
      </w:pPr>
    </w:p>
    <w:p w:rsidR="009C7E20" w:rsidRPr="00296B24" w:rsidRDefault="00FC30E8" w:rsidP="00CB1D84">
      <w:pPr>
        <w:rPr>
          <w:rFonts w:ascii="Arial Narrow" w:hAnsi="Arial Narrow"/>
          <w:sz w:val="22"/>
          <w:szCs w:val="22"/>
        </w:rPr>
      </w:pPr>
      <w:r w:rsidRPr="00296B24">
        <w:rPr>
          <w:rFonts w:ascii="Arial Narrow" w:hAnsi="Arial Narrow" w:cs="Arial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296B24">
        <w:rPr>
          <w:rFonts w:ascii="Arial Narrow" w:hAnsi="Arial Narrow" w:cs="Arial"/>
          <w:b/>
          <w:i/>
          <w:sz w:val="22"/>
          <w:szCs w:val="22"/>
        </w:rPr>
        <w:instrText xml:space="preserve"> FORMCHECKBOX </w:instrText>
      </w:r>
      <w:r w:rsidR="0037735D">
        <w:rPr>
          <w:rFonts w:ascii="Arial Narrow" w:hAnsi="Arial Narrow" w:cs="Arial"/>
          <w:b/>
          <w:i/>
          <w:sz w:val="22"/>
          <w:szCs w:val="22"/>
        </w:rPr>
      </w:r>
      <w:r w:rsidR="0037735D">
        <w:rPr>
          <w:rFonts w:ascii="Arial Narrow" w:hAnsi="Arial Narrow" w:cs="Arial"/>
          <w:b/>
          <w:i/>
          <w:sz w:val="22"/>
          <w:szCs w:val="22"/>
        </w:rPr>
        <w:fldChar w:fldCharType="separate"/>
      </w:r>
      <w:r w:rsidRPr="00296B24">
        <w:rPr>
          <w:rFonts w:ascii="Arial Narrow" w:hAnsi="Arial Narrow" w:cs="Arial"/>
          <w:b/>
          <w:i/>
          <w:sz w:val="22"/>
          <w:szCs w:val="22"/>
        </w:rPr>
        <w:fldChar w:fldCharType="end"/>
      </w:r>
      <w:r w:rsidR="004A4B16" w:rsidRPr="00296B24">
        <w:rPr>
          <w:rFonts w:ascii="Arial Narrow" w:hAnsi="Arial Narrow" w:cs="Arial"/>
          <w:sz w:val="22"/>
          <w:szCs w:val="22"/>
        </w:rPr>
        <w:t xml:space="preserve">  A copy of the evaluation report</w:t>
      </w:r>
      <w:r w:rsidR="00F53BBF" w:rsidRPr="00296B24">
        <w:rPr>
          <w:rFonts w:ascii="Arial Narrow" w:hAnsi="Arial Narrow" w:cs="Arial"/>
          <w:sz w:val="22"/>
          <w:szCs w:val="22"/>
        </w:rPr>
        <w:t>(s)</w:t>
      </w:r>
      <w:r w:rsidR="004A4B16" w:rsidRPr="00296B24">
        <w:rPr>
          <w:rFonts w:ascii="Arial Narrow" w:hAnsi="Arial Narrow" w:cs="Arial"/>
          <w:sz w:val="22"/>
          <w:szCs w:val="22"/>
        </w:rPr>
        <w:t xml:space="preserve"> and the eligibility statement has been provided to the parent(s). </w:t>
      </w:r>
      <w:r w:rsidR="00296B24" w:rsidRPr="00AC4D85">
        <w:rPr>
          <w:rFonts w:ascii="Arial Narrow" w:hAnsi="Arial Narrow"/>
          <w:b/>
          <w:color w:val="FF0000"/>
          <w:sz w:val="20"/>
          <w:szCs w:val="20"/>
        </w:rPr>
        <w:t>IDEA 3</w:t>
      </w:r>
      <w:r w:rsidR="00296B24" w:rsidRPr="00AC4D85">
        <w:rPr>
          <w:rFonts w:ascii="Arial Narrow" w:hAnsi="Arial Narrow"/>
          <w:b/>
          <w:bCs/>
          <w:color w:val="FF0000"/>
          <w:sz w:val="20"/>
          <w:szCs w:val="20"/>
        </w:rPr>
        <w:t xml:space="preserve">4 C.F.R. § </w:t>
      </w:r>
      <w:r w:rsidR="004A4B16" w:rsidRPr="00AC4D85">
        <w:rPr>
          <w:rFonts w:ascii="Arial Narrow" w:hAnsi="Arial Narrow" w:cs="Arial"/>
          <w:b/>
          <w:color w:val="FF0000"/>
          <w:sz w:val="20"/>
          <w:szCs w:val="20"/>
        </w:rPr>
        <w:t>300.306(a)(2)</w:t>
      </w:r>
    </w:p>
    <w:sectPr w:rsidR="009C7E20" w:rsidRPr="00296B24" w:rsidSect="00EB6BBA">
      <w:headerReference w:type="default" r:id="rId7"/>
      <w:footerReference w:type="default" r:id="rId8"/>
      <w:pgSz w:w="12240" w:h="15840"/>
      <w:pgMar w:top="72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5D" w:rsidRDefault="0037735D">
      <w:r>
        <w:separator/>
      </w:r>
    </w:p>
  </w:endnote>
  <w:endnote w:type="continuationSeparator" w:id="0">
    <w:p w:rsidR="0037735D" w:rsidRDefault="0037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78" w:rsidRPr="003E76E5" w:rsidRDefault="00717078" w:rsidP="003E76E5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Rev. </w:t>
    </w:r>
    <w:r w:rsidR="008D26DE">
      <w:rPr>
        <w:rFonts w:ascii="Arial Narrow" w:hAnsi="Arial Narrow"/>
        <w:sz w:val="18"/>
        <w:szCs w:val="18"/>
      </w:rPr>
      <w:t>06/03/2016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5D" w:rsidRDefault="0037735D">
      <w:r>
        <w:separator/>
      </w:r>
    </w:p>
  </w:footnote>
  <w:footnote w:type="continuationSeparator" w:id="0">
    <w:p w:rsidR="0037735D" w:rsidRDefault="0037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717078" w:rsidRPr="00897DEE" w:rsidTr="000D198C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717078" w:rsidRPr="00897DEE" w:rsidTr="000D198C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717078" w:rsidRPr="00897DEE" w:rsidRDefault="00717078" w:rsidP="000D198C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 w:rsidRPr="00897DEE"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054737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 w:rsidRPr="00897DEE"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054737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</w:t>
          </w:r>
          <w:r w:rsidRPr="00897DEE">
            <w:rPr>
              <w:rFonts w:ascii="Arial Narrow" w:hAnsi="Arial Narrow"/>
              <w:b w:val="0"/>
              <w:sz w:val="18"/>
              <w:szCs w:val="18"/>
            </w:rPr>
            <w:t>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:rsidR="00717078" w:rsidRPr="00897DEE" w:rsidRDefault="00717078" w:rsidP="000D198C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:rsidR="00717078" w:rsidRDefault="00717078">
    <w:pPr>
      <w:pStyle w:val="Header"/>
      <w:rPr>
        <w:sz w:val="4"/>
        <w:szCs w:val="4"/>
      </w:rPr>
    </w:pPr>
  </w:p>
  <w:p w:rsidR="004C6226" w:rsidRDefault="004C6226">
    <w:pPr>
      <w:pStyle w:val="Header"/>
      <w:rPr>
        <w:sz w:val="4"/>
        <w:szCs w:val="4"/>
      </w:rPr>
    </w:pPr>
  </w:p>
  <w:p w:rsidR="004C6226" w:rsidRPr="00C93F61" w:rsidRDefault="004C6226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2C"/>
    <w:rsid w:val="00001361"/>
    <w:rsid w:val="00040487"/>
    <w:rsid w:val="00044600"/>
    <w:rsid w:val="000538C1"/>
    <w:rsid w:val="0005402E"/>
    <w:rsid w:val="00054737"/>
    <w:rsid w:val="000D198C"/>
    <w:rsid w:val="000E47B1"/>
    <w:rsid w:val="000F71AF"/>
    <w:rsid w:val="00113326"/>
    <w:rsid w:val="00113846"/>
    <w:rsid w:val="001167D1"/>
    <w:rsid w:val="001449F9"/>
    <w:rsid w:val="00184FFB"/>
    <w:rsid w:val="00195094"/>
    <w:rsid w:val="001A7880"/>
    <w:rsid w:val="001C12B8"/>
    <w:rsid w:val="002018B7"/>
    <w:rsid w:val="002165E1"/>
    <w:rsid w:val="00235138"/>
    <w:rsid w:val="00242A8D"/>
    <w:rsid w:val="0024445D"/>
    <w:rsid w:val="00245726"/>
    <w:rsid w:val="00251085"/>
    <w:rsid w:val="00255A72"/>
    <w:rsid w:val="00265483"/>
    <w:rsid w:val="002674DD"/>
    <w:rsid w:val="002708A0"/>
    <w:rsid w:val="0027434D"/>
    <w:rsid w:val="00280EE8"/>
    <w:rsid w:val="00281DCE"/>
    <w:rsid w:val="00296B24"/>
    <w:rsid w:val="002F70A9"/>
    <w:rsid w:val="002F74B1"/>
    <w:rsid w:val="00321EA2"/>
    <w:rsid w:val="00342C76"/>
    <w:rsid w:val="00346050"/>
    <w:rsid w:val="00374E99"/>
    <w:rsid w:val="0037735D"/>
    <w:rsid w:val="00393366"/>
    <w:rsid w:val="00394634"/>
    <w:rsid w:val="003D0214"/>
    <w:rsid w:val="003E76E5"/>
    <w:rsid w:val="003F09A8"/>
    <w:rsid w:val="003F2FF2"/>
    <w:rsid w:val="003F3FE2"/>
    <w:rsid w:val="0040389E"/>
    <w:rsid w:val="00403BCF"/>
    <w:rsid w:val="00415318"/>
    <w:rsid w:val="00424556"/>
    <w:rsid w:val="00426016"/>
    <w:rsid w:val="00465A3E"/>
    <w:rsid w:val="0046743E"/>
    <w:rsid w:val="00490203"/>
    <w:rsid w:val="004A4B16"/>
    <w:rsid w:val="004C6226"/>
    <w:rsid w:val="004E0C85"/>
    <w:rsid w:val="005014A7"/>
    <w:rsid w:val="005111EB"/>
    <w:rsid w:val="00523EFE"/>
    <w:rsid w:val="005550A5"/>
    <w:rsid w:val="005767B3"/>
    <w:rsid w:val="00576F01"/>
    <w:rsid w:val="00583483"/>
    <w:rsid w:val="005837BC"/>
    <w:rsid w:val="00584E1E"/>
    <w:rsid w:val="00585915"/>
    <w:rsid w:val="00594DE3"/>
    <w:rsid w:val="005A2667"/>
    <w:rsid w:val="005E4CC1"/>
    <w:rsid w:val="0060560B"/>
    <w:rsid w:val="0060604A"/>
    <w:rsid w:val="00627A21"/>
    <w:rsid w:val="006315D7"/>
    <w:rsid w:val="00657BEF"/>
    <w:rsid w:val="00693F2E"/>
    <w:rsid w:val="0069502C"/>
    <w:rsid w:val="00696537"/>
    <w:rsid w:val="006A48CC"/>
    <w:rsid w:val="006B596F"/>
    <w:rsid w:val="006D686F"/>
    <w:rsid w:val="006F1090"/>
    <w:rsid w:val="00704B06"/>
    <w:rsid w:val="00715A81"/>
    <w:rsid w:val="00717078"/>
    <w:rsid w:val="007337DB"/>
    <w:rsid w:val="00743841"/>
    <w:rsid w:val="00747539"/>
    <w:rsid w:val="00757002"/>
    <w:rsid w:val="00795EE4"/>
    <w:rsid w:val="007C3608"/>
    <w:rsid w:val="007C6A6E"/>
    <w:rsid w:val="00817FC5"/>
    <w:rsid w:val="00827180"/>
    <w:rsid w:val="00832716"/>
    <w:rsid w:val="0086012F"/>
    <w:rsid w:val="00863319"/>
    <w:rsid w:val="008A5AC0"/>
    <w:rsid w:val="008A6750"/>
    <w:rsid w:val="008B4828"/>
    <w:rsid w:val="008C0878"/>
    <w:rsid w:val="008C4718"/>
    <w:rsid w:val="008D08C2"/>
    <w:rsid w:val="008D26DE"/>
    <w:rsid w:val="008E505C"/>
    <w:rsid w:val="0092322D"/>
    <w:rsid w:val="00924495"/>
    <w:rsid w:val="00952450"/>
    <w:rsid w:val="009652EE"/>
    <w:rsid w:val="00966B1C"/>
    <w:rsid w:val="00981608"/>
    <w:rsid w:val="009B0F42"/>
    <w:rsid w:val="009C7E20"/>
    <w:rsid w:val="009D5F93"/>
    <w:rsid w:val="009F662F"/>
    <w:rsid w:val="009F7949"/>
    <w:rsid w:val="00A2259B"/>
    <w:rsid w:val="00A22A5C"/>
    <w:rsid w:val="00A33030"/>
    <w:rsid w:val="00A402B7"/>
    <w:rsid w:val="00A40BE0"/>
    <w:rsid w:val="00A65926"/>
    <w:rsid w:val="00A66514"/>
    <w:rsid w:val="00A93E21"/>
    <w:rsid w:val="00AC4D85"/>
    <w:rsid w:val="00AE61C2"/>
    <w:rsid w:val="00B323B9"/>
    <w:rsid w:val="00B91D60"/>
    <w:rsid w:val="00BC147C"/>
    <w:rsid w:val="00BC6213"/>
    <w:rsid w:val="00BE6F5C"/>
    <w:rsid w:val="00C239C3"/>
    <w:rsid w:val="00C40F77"/>
    <w:rsid w:val="00C636BF"/>
    <w:rsid w:val="00C77CD6"/>
    <w:rsid w:val="00C84EF2"/>
    <w:rsid w:val="00C93F61"/>
    <w:rsid w:val="00C94B7E"/>
    <w:rsid w:val="00CB1D84"/>
    <w:rsid w:val="00CC6CB9"/>
    <w:rsid w:val="00CD2AAC"/>
    <w:rsid w:val="00CD7D08"/>
    <w:rsid w:val="00D25560"/>
    <w:rsid w:val="00D43EEF"/>
    <w:rsid w:val="00D57FAB"/>
    <w:rsid w:val="00D6134A"/>
    <w:rsid w:val="00D625FA"/>
    <w:rsid w:val="00DB254E"/>
    <w:rsid w:val="00DB558D"/>
    <w:rsid w:val="00DB76B0"/>
    <w:rsid w:val="00DC2A4C"/>
    <w:rsid w:val="00DC322C"/>
    <w:rsid w:val="00DD1033"/>
    <w:rsid w:val="00E01A06"/>
    <w:rsid w:val="00E40E43"/>
    <w:rsid w:val="00E4558E"/>
    <w:rsid w:val="00E75182"/>
    <w:rsid w:val="00E9482E"/>
    <w:rsid w:val="00E95F5D"/>
    <w:rsid w:val="00EB6BBA"/>
    <w:rsid w:val="00EC4A32"/>
    <w:rsid w:val="00EC59B9"/>
    <w:rsid w:val="00EE2255"/>
    <w:rsid w:val="00EF46F6"/>
    <w:rsid w:val="00F04EDE"/>
    <w:rsid w:val="00F04F51"/>
    <w:rsid w:val="00F4252B"/>
    <w:rsid w:val="00F463BD"/>
    <w:rsid w:val="00F53BBF"/>
    <w:rsid w:val="00F63E53"/>
    <w:rsid w:val="00F74852"/>
    <w:rsid w:val="00F90896"/>
    <w:rsid w:val="00FA0669"/>
    <w:rsid w:val="00FB4C8D"/>
    <w:rsid w:val="00FC30E8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864A70-4AFE-46D7-8B3C-FFDD9611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4A7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B6BBA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EB6BBA"/>
    <w:rPr>
      <w:rFonts w:ascii="Tahoma" w:hAnsi="Tahoma" w:cs="Tahoma"/>
      <w:b/>
      <w:bCs/>
      <w:sz w:val="22"/>
      <w:szCs w:val="24"/>
    </w:rPr>
  </w:style>
  <w:style w:type="table" w:styleId="TableClassic1">
    <w:name w:val="Table Classic 1"/>
    <w:basedOn w:val="TableNormal"/>
    <w:rsid w:val="00965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greenwood_m</dc:creator>
  <cp:lastModifiedBy>Wigert, Julia</cp:lastModifiedBy>
  <cp:revision>3</cp:revision>
  <cp:lastPrinted>2012-12-19T19:44:00Z</cp:lastPrinted>
  <dcterms:created xsi:type="dcterms:W3CDTF">2016-06-03T20:52:00Z</dcterms:created>
  <dcterms:modified xsi:type="dcterms:W3CDTF">2016-06-03T20:53:00Z</dcterms:modified>
</cp:coreProperties>
</file>