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BAD7F" w14:textId="0FB15D62" w:rsidR="0086052E" w:rsidRDefault="005B159A" w:rsidP="00B97B79">
      <w:pPr>
        <w:pStyle w:val="Heading1"/>
      </w:pPr>
      <w:r>
        <w:t>Closeo</w:t>
      </w:r>
      <w:r w:rsidR="00B37111">
        <w:t>ut</w:t>
      </w:r>
      <w:r>
        <w:t xml:space="preserve"> Procedures</w:t>
      </w:r>
    </w:p>
    <w:p w14:paraId="724B8540" w14:textId="77777777" w:rsidR="00D167BF" w:rsidRPr="00D167BF" w:rsidRDefault="00610166" w:rsidP="00D167BF">
      <w:pPr>
        <w:pStyle w:val="Heading2"/>
      </w:pPr>
      <w:r>
        <w:t>AEFLA</w:t>
      </w:r>
      <w:r w:rsidR="00067E7D">
        <w:t>/IELCE</w:t>
      </w:r>
      <w:r>
        <w:t xml:space="preserve"> </w:t>
      </w:r>
      <w:r w:rsidR="00B37111">
        <w:t>Asset Inventory</w:t>
      </w:r>
    </w:p>
    <w:p w14:paraId="5643D738" w14:textId="77777777" w:rsidR="00D167BF" w:rsidRDefault="001831EC" w:rsidP="00D167BF">
      <w:pPr>
        <w:pStyle w:val="Heading3"/>
      </w:pPr>
      <w:hyperlink r:id="rId10" w:history="1">
        <w:r w:rsidR="00B37111" w:rsidRPr="00B37111">
          <w:rPr>
            <w:rStyle w:val="Hyperlink"/>
          </w:rPr>
          <w:t>Equipment</w:t>
        </w:r>
      </w:hyperlink>
      <w:r w:rsidR="00B37111">
        <w:rPr>
          <w:rStyle w:val="FootnoteReference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234"/>
        <w:gridCol w:w="1035"/>
        <w:gridCol w:w="1314"/>
        <w:gridCol w:w="2332"/>
        <w:gridCol w:w="1753"/>
      </w:tblGrid>
      <w:tr w:rsidR="001204F3" w14:paraId="0A90BE1D" w14:textId="77777777" w:rsidTr="00F66893">
        <w:tc>
          <w:tcPr>
            <w:tcW w:w="1728" w:type="dxa"/>
            <w:shd w:val="clear" w:color="auto" w:fill="auto"/>
          </w:tcPr>
          <w:p w14:paraId="03A46806" w14:textId="77777777" w:rsidR="00B37111" w:rsidRDefault="00B37111" w:rsidP="00431BA8">
            <w:pPr>
              <w:pStyle w:val="Text"/>
            </w:pPr>
            <w:r>
              <w:t>Item</w:t>
            </w:r>
          </w:p>
        </w:tc>
        <w:tc>
          <w:tcPr>
            <w:tcW w:w="1620" w:type="dxa"/>
            <w:shd w:val="clear" w:color="auto" w:fill="auto"/>
          </w:tcPr>
          <w:p w14:paraId="55375823" w14:textId="77777777" w:rsidR="00B37111" w:rsidRDefault="00B37111" w:rsidP="00431BA8">
            <w:pPr>
              <w:pStyle w:val="Text"/>
            </w:pPr>
            <w:r>
              <w:t>Serial Number or Asset Tag</w:t>
            </w:r>
          </w:p>
        </w:tc>
        <w:tc>
          <w:tcPr>
            <w:tcW w:w="1234" w:type="dxa"/>
            <w:shd w:val="clear" w:color="auto" w:fill="auto"/>
          </w:tcPr>
          <w:p w14:paraId="473D2C21" w14:textId="77777777" w:rsidR="00B37111" w:rsidRDefault="00B37111" w:rsidP="00431BA8">
            <w:pPr>
              <w:pStyle w:val="Text"/>
            </w:pPr>
            <w:r>
              <w:t xml:space="preserve">Date </w:t>
            </w:r>
            <w:r w:rsidR="001204F3">
              <w:t>of Acquisition</w:t>
            </w:r>
          </w:p>
        </w:tc>
        <w:tc>
          <w:tcPr>
            <w:tcW w:w="1035" w:type="dxa"/>
            <w:shd w:val="clear" w:color="auto" w:fill="auto"/>
          </w:tcPr>
          <w:p w14:paraId="10D2B9AB" w14:textId="77777777" w:rsidR="00B37111" w:rsidRDefault="00FC53AE" w:rsidP="00B37111">
            <w:pPr>
              <w:pStyle w:val="Text"/>
            </w:pPr>
            <w:r>
              <w:t>Value</w:t>
            </w:r>
            <w:r w:rsidR="00B37111">
              <w:rPr>
                <w:rStyle w:val="FootnoteReference"/>
              </w:rPr>
              <w:footnoteReference w:id="3"/>
            </w:r>
            <w:r w:rsidR="00B37111" w:rsidRPr="00B37111"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14:paraId="7F299A20" w14:textId="77777777" w:rsidR="00B37111" w:rsidRDefault="00B37111" w:rsidP="00431BA8">
            <w:pPr>
              <w:pStyle w:val="Text"/>
            </w:pPr>
            <w:r>
              <w:t xml:space="preserve">Location </w:t>
            </w:r>
            <w:r w:rsidRPr="00B37111">
              <w:t>of equipment (physical address)</w:t>
            </w:r>
          </w:p>
        </w:tc>
        <w:tc>
          <w:tcPr>
            <w:tcW w:w="2332" w:type="dxa"/>
            <w:shd w:val="clear" w:color="auto" w:fill="auto"/>
          </w:tcPr>
          <w:p w14:paraId="7A0AC8FD" w14:textId="5EC47D39" w:rsidR="00B37111" w:rsidRDefault="00B37111" w:rsidP="00B37111">
            <w:pPr>
              <w:pStyle w:val="Text"/>
            </w:pPr>
            <w:r>
              <w:t>Disbursement Method &amp; Date (</w:t>
            </w:r>
            <w:r w:rsidR="009D1287">
              <w:t>retain</w:t>
            </w:r>
            <w:r w:rsidR="00F66893">
              <w:rPr>
                <w:rStyle w:val="FootnoteReference"/>
              </w:rPr>
              <w:footnoteReference w:id="4"/>
            </w:r>
            <w:r>
              <w:t>, s</w:t>
            </w:r>
            <w:r w:rsidR="00AA7C21">
              <w:t>ell</w:t>
            </w:r>
            <w:r w:rsidR="00663405">
              <w:rPr>
                <w:rStyle w:val="FootnoteReference"/>
              </w:rPr>
              <w:footnoteReference w:id="5"/>
            </w:r>
            <w:r>
              <w:t>, redistribute</w:t>
            </w:r>
            <w:r>
              <w:rPr>
                <w:rStyle w:val="FootnoteReference"/>
              </w:rPr>
              <w:footnoteReference w:id="6"/>
            </w:r>
            <w:r>
              <w:t>, recycle, donate, throw away)</w:t>
            </w:r>
            <w:r>
              <w:rPr>
                <w:rStyle w:val="FootnoteReference"/>
              </w:rPr>
              <w:footnoteReference w:id="7"/>
            </w:r>
            <w:r>
              <w:tab/>
            </w:r>
          </w:p>
        </w:tc>
        <w:tc>
          <w:tcPr>
            <w:tcW w:w="1753" w:type="dxa"/>
            <w:shd w:val="clear" w:color="auto" w:fill="auto"/>
          </w:tcPr>
          <w:p w14:paraId="0ACD8C6C" w14:textId="77777777" w:rsidR="00B37111" w:rsidRDefault="00B37111" w:rsidP="00B37111">
            <w:pPr>
              <w:pStyle w:val="Text"/>
            </w:pPr>
            <w:r>
              <w:t>Explain why disbursement method was chosen.</w:t>
            </w:r>
            <w:r>
              <w:rPr>
                <w:rStyle w:val="FootnoteReference"/>
              </w:rPr>
              <w:footnoteReference w:id="8"/>
            </w:r>
            <w:r>
              <w:t xml:space="preserve"> </w:t>
            </w:r>
          </w:p>
        </w:tc>
      </w:tr>
      <w:tr w:rsidR="001204F3" w14:paraId="10C71927" w14:textId="77777777" w:rsidTr="00F66893">
        <w:tc>
          <w:tcPr>
            <w:tcW w:w="1728" w:type="dxa"/>
            <w:shd w:val="clear" w:color="auto" w:fill="auto"/>
          </w:tcPr>
          <w:p w14:paraId="6DDA1ED2" w14:textId="77777777" w:rsidR="00B37111" w:rsidRDefault="00B37111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63DD58A5" w14:textId="77777777" w:rsidR="00B37111" w:rsidRDefault="00B37111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3D9EA39C" w14:textId="77777777" w:rsidR="00B37111" w:rsidRDefault="00B37111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09F76035" w14:textId="77777777" w:rsidR="00B37111" w:rsidRDefault="00B37111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72327E22" w14:textId="77777777" w:rsidR="00B37111" w:rsidRPr="00B37111" w:rsidRDefault="00B37111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161DD6FD" w14:textId="77777777" w:rsidR="00B37111" w:rsidRDefault="00B37111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11CD6C79" w14:textId="77777777" w:rsidR="00B37111" w:rsidRDefault="00B37111" w:rsidP="00431BA8">
            <w:pPr>
              <w:pStyle w:val="Text"/>
            </w:pPr>
          </w:p>
        </w:tc>
      </w:tr>
      <w:tr w:rsidR="001204F3" w14:paraId="3FE9D869" w14:textId="77777777" w:rsidTr="00F66893">
        <w:tc>
          <w:tcPr>
            <w:tcW w:w="1728" w:type="dxa"/>
            <w:shd w:val="clear" w:color="auto" w:fill="auto"/>
          </w:tcPr>
          <w:p w14:paraId="411CB3AD" w14:textId="77777777" w:rsidR="00B37111" w:rsidRDefault="00B37111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0525CAC5" w14:textId="77777777" w:rsidR="00B37111" w:rsidRDefault="00B37111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15E08FA8" w14:textId="77777777" w:rsidR="00B37111" w:rsidRDefault="00B37111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62F3DA53" w14:textId="77777777" w:rsidR="00B37111" w:rsidRDefault="00B37111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400B8821" w14:textId="77777777" w:rsidR="00B37111" w:rsidRPr="00B37111" w:rsidRDefault="00B37111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15723BFF" w14:textId="77777777" w:rsidR="00B37111" w:rsidRDefault="00B37111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5A746F97" w14:textId="77777777" w:rsidR="00B37111" w:rsidRDefault="00B37111" w:rsidP="00431BA8">
            <w:pPr>
              <w:pStyle w:val="Text"/>
            </w:pPr>
          </w:p>
        </w:tc>
      </w:tr>
      <w:tr w:rsidR="001204F3" w14:paraId="19024EDE" w14:textId="77777777" w:rsidTr="00F66893">
        <w:tc>
          <w:tcPr>
            <w:tcW w:w="1728" w:type="dxa"/>
            <w:shd w:val="clear" w:color="auto" w:fill="auto"/>
          </w:tcPr>
          <w:p w14:paraId="092004D9" w14:textId="77777777" w:rsidR="00B37111" w:rsidRDefault="00B37111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2C669DFF" w14:textId="77777777" w:rsidR="00B37111" w:rsidRDefault="00B37111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77C81D12" w14:textId="77777777" w:rsidR="00B37111" w:rsidRDefault="00B37111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531028C9" w14:textId="77777777" w:rsidR="00B37111" w:rsidRDefault="00B37111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2DF97A91" w14:textId="77777777" w:rsidR="00B37111" w:rsidRPr="00B37111" w:rsidRDefault="00B37111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56DFD475" w14:textId="77777777" w:rsidR="00B37111" w:rsidRDefault="00B37111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63E666CA" w14:textId="77777777" w:rsidR="00B37111" w:rsidRDefault="00B37111" w:rsidP="00431BA8">
            <w:pPr>
              <w:pStyle w:val="Text"/>
            </w:pPr>
          </w:p>
        </w:tc>
      </w:tr>
      <w:tr w:rsidR="001204F3" w14:paraId="5951587F" w14:textId="77777777" w:rsidTr="00F66893">
        <w:tc>
          <w:tcPr>
            <w:tcW w:w="1728" w:type="dxa"/>
            <w:shd w:val="clear" w:color="auto" w:fill="auto"/>
          </w:tcPr>
          <w:p w14:paraId="08985B51" w14:textId="77777777" w:rsidR="00B37111" w:rsidRDefault="00B37111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57F3DC89" w14:textId="77777777" w:rsidR="00B37111" w:rsidRDefault="00B37111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416050C1" w14:textId="77777777" w:rsidR="00B37111" w:rsidRDefault="00B37111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2706E5EA" w14:textId="77777777" w:rsidR="00B37111" w:rsidRDefault="00B37111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4EAF07C4" w14:textId="77777777" w:rsidR="00B37111" w:rsidRPr="00B37111" w:rsidRDefault="00B37111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2BC9C82A" w14:textId="77777777" w:rsidR="00B37111" w:rsidRDefault="00B37111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7710C48D" w14:textId="77777777" w:rsidR="00B37111" w:rsidRDefault="00B37111" w:rsidP="00431BA8">
            <w:pPr>
              <w:pStyle w:val="Text"/>
            </w:pPr>
          </w:p>
        </w:tc>
      </w:tr>
      <w:tr w:rsidR="001204F3" w14:paraId="7551ADB9" w14:textId="77777777" w:rsidTr="00F66893">
        <w:tc>
          <w:tcPr>
            <w:tcW w:w="1728" w:type="dxa"/>
            <w:shd w:val="clear" w:color="auto" w:fill="auto"/>
          </w:tcPr>
          <w:p w14:paraId="20BCE2F8" w14:textId="77777777" w:rsidR="00171113" w:rsidRDefault="00171113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095C0DFA" w14:textId="77777777" w:rsidR="00171113" w:rsidRDefault="00171113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2B90E70B" w14:textId="77777777" w:rsidR="00171113" w:rsidRDefault="00171113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70FC65D0" w14:textId="77777777" w:rsidR="00171113" w:rsidRDefault="00171113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1DDACE15" w14:textId="77777777" w:rsidR="00171113" w:rsidRPr="00B37111" w:rsidRDefault="00171113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6E20B64C" w14:textId="77777777" w:rsidR="00171113" w:rsidRDefault="00171113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77FE6410" w14:textId="77777777" w:rsidR="00171113" w:rsidRDefault="00171113" w:rsidP="00431BA8">
            <w:pPr>
              <w:pStyle w:val="Text"/>
            </w:pPr>
          </w:p>
        </w:tc>
      </w:tr>
      <w:tr w:rsidR="001204F3" w14:paraId="76054632" w14:textId="77777777" w:rsidTr="00F66893">
        <w:tc>
          <w:tcPr>
            <w:tcW w:w="1728" w:type="dxa"/>
            <w:shd w:val="clear" w:color="auto" w:fill="auto"/>
          </w:tcPr>
          <w:p w14:paraId="59829268" w14:textId="77777777" w:rsidR="00171113" w:rsidRDefault="00171113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013797E5" w14:textId="77777777" w:rsidR="00171113" w:rsidRDefault="00171113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4CCAE62F" w14:textId="77777777" w:rsidR="00171113" w:rsidRDefault="00171113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1EED898C" w14:textId="77777777" w:rsidR="00171113" w:rsidRDefault="00171113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19C27117" w14:textId="77777777" w:rsidR="00171113" w:rsidRPr="00B37111" w:rsidRDefault="00171113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53793FCB" w14:textId="77777777" w:rsidR="00171113" w:rsidRDefault="00171113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6D9130AD" w14:textId="77777777" w:rsidR="00171113" w:rsidRDefault="00171113" w:rsidP="00431BA8">
            <w:pPr>
              <w:pStyle w:val="Text"/>
            </w:pPr>
          </w:p>
        </w:tc>
      </w:tr>
      <w:tr w:rsidR="001204F3" w14:paraId="24FB7323" w14:textId="77777777" w:rsidTr="00F66893">
        <w:tc>
          <w:tcPr>
            <w:tcW w:w="1728" w:type="dxa"/>
            <w:shd w:val="clear" w:color="auto" w:fill="auto"/>
          </w:tcPr>
          <w:p w14:paraId="4362D4FD" w14:textId="77777777" w:rsidR="00171113" w:rsidRDefault="00171113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4191CC3F" w14:textId="77777777" w:rsidR="00171113" w:rsidRDefault="00171113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11555AAA" w14:textId="77777777" w:rsidR="00171113" w:rsidRDefault="00171113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1283F411" w14:textId="77777777" w:rsidR="00171113" w:rsidRDefault="00171113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6B36EE84" w14:textId="77777777" w:rsidR="00171113" w:rsidRPr="00B37111" w:rsidRDefault="00171113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35691C97" w14:textId="77777777" w:rsidR="00171113" w:rsidRDefault="00171113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1C7A9038" w14:textId="77777777" w:rsidR="00171113" w:rsidRDefault="00171113" w:rsidP="00431BA8">
            <w:pPr>
              <w:pStyle w:val="Text"/>
            </w:pPr>
          </w:p>
        </w:tc>
      </w:tr>
      <w:tr w:rsidR="001204F3" w14:paraId="22D434DC" w14:textId="77777777" w:rsidTr="00F66893">
        <w:tc>
          <w:tcPr>
            <w:tcW w:w="1728" w:type="dxa"/>
            <w:shd w:val="clear" w:color="auto" w:fill="auto"/>
          </w:tcPr>
          <w:p w14:paraId="5D7CC16E" w14:textId="77777777" w:rsidR="00171113" w:rsidRDefault="00171113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16159040" w14:textId="77777777" w:rsidR="00171113" w:rsidRDefault="00171113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544BA152" w14:textId="77777777" w:rsidR="00171113" w:rsidRDefault="00171113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747897DC" w14:textId="77777777" w:rsidR="00171113" w:rsidRDefault="00171113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5166C14A" w14:textId="77777777" w:rsidR="00171113" w:rsidRPr="00B37111" w:rsidRDefault="00171113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6E122326" w14:textId="77777777" w:rsidR="00171113" w:rsidRDefault="00171113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48DB5EE4" w14:textId="77777777" w:rsidR="00171113" w:rsidRDefault="00171113" w:rsidP="00431BA8">
            <w:pPr>
              <w:pStyle w:val="Text"/>
            </w:pPr>
          </w:p>
        </w:tc>
      </w:tr>
      <w:tr w:rsidR="001204F3" w14:paraId="5546F679" w14:textId="77777777" w:rsidTr="00F66893">
        <w:tc>
          <w:tcPr>
            <w:tcW w:w="1728" w:type="dxa"/>
            <w:shd w:val="clear" w:color="auto" w:fill="auto"/>
          </w:tcPr>
          <w:p w14:paraId="41FCA234" w14:textId="77777777" w:rsidR="00171113" w:rsidRDefault="00171113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13E78D45" w14:textId="77777777" w:rsidR="00171113" w:rsidRDefault="00171113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35234484" w14:textId="77777777" w:rsidR="00171113" w:rsidRDefault="00171113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25085B7D" w14:textId="77777777" w:rsidR="00171113" w:rsidRDefault="00171113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4CAA9497" w14:textId="77777777" w:rsidR="00171113" w:rsidRPr="00B37111" w:rsidRDefault="00171113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471337F3" w14:textId="77777777" w:rsidR="00171113" w:rsidRDefault="00171113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47564FFA" w14:textId="77777777" w:rsidR="00171113" w:rsidRDefault="00171113" w:rsidP="00431BA8">
            <w:pPr>
              <w:pStyle w:val="Text"/>
            </w:pPr>
          </w:p>
        </w:tc>
      </w:tr>
      <w:tr w:rsidR="001204F3" w14:paraId="77ADAD4A" w14:textId="77777777" w:rsidTr="00F66893">
        <w:tc>
          <w:tcPr>
            <w:tcW w:w="1728" w:type="dxa"/>
            <w:shd w:val="clear" w:color="auto" w:fill="auto"/>
          </w:tcPr>
          <w:p w14:paraId="1E6A52D5" w14:textId="77777777" w:rsidR="00171113" w:rsidRDefault="00171113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6FF864CE" w14:textId="77777777" w:rsidR="00171113" w:rsidRDefault="00171113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27403237" w14:textId="77777777" w:rsidR="00171113" w:rsidRDefault="00171113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64D339BA" w14:textId="77777777" w:rsidR="00171113" w:rsidRDefault="00171113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165A74EE" w14:textId="77777777" w:rsidR="00171113" w:rsidRPr="00B37111" w:rsidRDefault="00171113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27449891" w14:textId="77777777" w:rsidR="00171113" w:rsidRDefault="00171113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0D9DBECE" w14:textId="77777777" w:rsidR="00171113" w:rsidRDefault="00171113" w:rsidP="00431BA8">
            <w:pPr>
              <w:pStyle w:val="Text"/>
            </w:pPr>
          </w:p>
        </w:tc>
      </w:tr>
      <w:tr w:rsidR="001204F3" w14:paraId="6A4FE696" w14:textId="77777777" w:rsidTr="00F66893">
        <w:tc>
          <w:tcPr>
            <w:tcW w:w="1728" w:type="dxa"/>
            <w:shd w:val="clear" w:color="auto" w:fill="auto"/>
          </w:tcPr>
          <w:p w14:paraId="5CDDE286" w14:textId="77777777" w:rsidR="00171113" w:rsidRDefault="00171113" w:rsidP="00431BA8">
            <w:pPr>
              <w:pStyle w:val="Text"/>
            </w:pPr>
          </w:p>
        </w:tc>
        <w:tc>
          <w:tcPr>
            <w:tcW w:w="1620" w:type="dxa"/>
            <w:shd w:val="clear" w:color="auto" w:fill="auto"/>
          </w:tcPr>
          <w:p w14:paraId="47480539" w14:textId="77777777" w:rsidR="00171113" w:rsidRDefault="00171113" w:rsidP="00431BA8">
            <w:pPr>
              <w:pStyle w:val="Text"/>
            </w:pPr>
          </w:p>
        </w:tc>
        <w:tc>
          <w:tcPr>
            <w:tcW w:w="1234" w:type="dxa"/>
            <w:shd w:val="clear" w:color="auto" w:fill="auto"/>
          </w:tcPr>
          <w:p w14:paraId="30FD2DAE" w14:textId="77777777" w:rsidR="00171113" w:rsidRDefault="00171113" w:rsidP="00431BA8">
            <w:pPr>
              <w:pStyle w:val="Text"/>
            </w:pPr>
          </w:p>
        </w:tc>
        <w:tc>
          <w:tcPr>
            <w:tcW w:w="1035" w:type="dxa"/>
            <w:shd w:val="clear" w:color="auto" w:fill="auto"/>
          </w:tcPr>
          <w:p w14:paraId="7BCE3B1B" w14:textId="77777777" w:rsidR="00171113" w:rsidRDefault="00171113" w:rsidP="00431BA8">
            <w:pPr>
              <w:pStyle w:val="Text"/>
            </w:pPr>
          </w:p>
        </w:tc>
        <w:tc>
          <w:tcPr>
            <w:tcW w:w="1314" w:type="dxa"/>
            <w:shd w:val="clear" w:color="auto" w:fill="auto"/>
          </w:tcPr>
          <w:p w14:paraId="31BE8547" w14:textId="77777777" w:rsidR="00171113" w:rsidRPr="00B37111" w:rsidRDefault="00171113" w:rsidP="00431BA8">
            <w:pPr>
              <w:pStyle w:val="Text"/>
            </w:pPr>
          </w:p>
        </w:tc>
        <w:tc>
          <w:tcPr>
            <w:tcW w:w="2332" w:type="dxa"/>
            <w:shd w:val="clear" w:color="auto" w:fill="auto"/>
          </w:tcPr>
          <w:p w14:paraId="750BC20B" w14:textId="77777777" w:rsidR="00171113" w:rsidRDefault="00171113" w:rsidP="00B37111">
            <w:pPr>
              <w:pStyle w:val="Text"/>
            </w:pPr>
          </w:p>
        </w:tc>
        <w:tc>
          <w:tcPr>
            <w:tcW w:w="1753" w:type="dxa"/>
            <w:shd w:val="clear" w:color="auto" w:fill="auto"/>
          </w:tcPr>
          <w:p w14:paraId="5F200440" w14:textId="77777777" w:rsidR="00171113" w:rsidRDefault="00171113" w:rsidP="00431BA8">
            <w:pPr>
              <w:pStyle w:val="Text"/>
            </w:pPr>
          </w:p>
        </w:tc>
      </w:tr>
    </w:tbl>
    <w:p w14:paraId="164DF272" w14:textId="77777777" w:rsidR="00B37111" w:rsidRDefault="00B37111" w:rsidP="00431BA8">
      <w:pPr>
        <w:pStyle w:val="Text"/>
      </w:pPr>
    </w:p>
    <w:p w14:paraId="475AACBF" w14:textId="77777777" w:rsidR="00D167BF" w:rsidRDefault="00D167BF" w:rsidP="005877F1">
      <w:pPr>
        <w:pStyle w:val="Text"/>
      </w:pPr>
    </w:p>
    <w:p w14:paraId="7CA1F11A" w14:textId="77777777" w:rsidR="00171113" w:rsidRDefault="00171113" w:rsidP="005877F1">
      <w:pPr>
        <w:pStyle w:val="Text"/>
      </w:pPr>
    </w:p>
    <w:p w14:paraId="6BAB6ADA" w14:textId="4B1E2A6C" w:rsidR="00171113" w:rsidRDefault="001831EC" w:rsidP="00171113">
      <w:pPr>
        <w:pStyle w:val="Heading3"/>
      </w:pPr>
      <w:hyperlink r:id="rId11" w:history="1">
        <w:r w:rsidR="00171113" w:rsidRPr="00171113">
          <w:rPr>
            <w:rStyle w:val="Hyperlink"/>
          </w:rPr>
          <w:t>Unused Supplies</w:t>
        </w:r>
      </w:hyperlink>
      <w:r w:rsidR="00EB0A08">
        <w:rPr>
          <w:rStyle w:val="FootnoteReference"/>
          <w:color w:val="0563C1"/>
          <w:u w:val="single"/>
        </w:rPr>
        <w:footnoteReference w:id="9"/>
      </w:r>
      <w:r w:rsidR="00171113">
        <w:t xml:space="preserve"> (If </w:t>
      </w:r>
      <w:r w:rsidR="00171113" w:rsidRPr="00171113">
        <w:t>over $5,000 in total aggregate value</w:t>
      </w:r>
      <w:r w:rsidR="00171113">
        <w:t>)</w:t>
      </w:r>
      <w:r w:rsidR="00171113">
        <w:rPr>
          <w:rStyle w:val="FootnoteReference"/>
        </w:rPr>
        <w:footnoteReference w:id="10"/>
      </w:r>
    </w:p>
    <w:p w14:paraId="2A2F2981" w14:textId="77777777" w:rsidR="00171113" w:rsidRDefault="00171113" w:rsidP="005877F1">
      <w:pPr>
        <w:pStyle w:val="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51"/>
        <w:gridCol w:w="1530"/>
        <w:gridCol w:w="1656"/>
        <w:gridCol w:w="2726"/>
        <w:gridCol w:w="2122"/>
      </w:tblGrid>
      <w:tr w:rsidR="00FC53AE" w14:paraId="0D858373" w14:textId="77777777" w:rsidTr="00FC53AE">
        <w:tc>
          <w:tcPr>
            <w:tcW w:w="1555" w:type="dxa"/>
            <w:shd w:val="clear" w:color="auto" w:fill="auto"/>
          </w:tcPr>
          <w:p w14:paraId="6E57FA86" w14:textId="77777777" w:rsidR="00171113" w:rsidRDefault="00171113" w:rsidP="0065262A">
            <w:pPr>
              <w:pStyle w:val="Text"/>
            </w:pPr>
            <w:r>
              <w:t>Item</w:t>
            </w:r>
          </w:p>
        </w:tc>
        <w:tc>
          <w:tcPr>
            <w:tcW w:w="1253" w:type="dxa"/>
            <w:shd w:val="clear" w:color="auto" w:fill="auto"/>
          </w:tcPr>
          <w:p w14:paraId="4032DD84" w14:textId="77777777" w:rsidR="00171113" w:rsidRDefault="00FC53AE" w:rsidP="0065262A">
            <w:pPr>
              <w:pStyle w:val="Text"/>
            </w:pPr>
            <w:r>
              <w:t>Date of Acquisition</w:t>
            </w:r>
          </w:p>
        </w:tc>
        <w:tc>
          <w:tcPr>
            <w:tcW w:w="1568" w:type="dxa"/>
            <w:shd w:val="clear" w:color="auto" w:fill="auto"/>
          </w:tcPr>
          <w:p w14:paraId="7A68EE16" w14:textId="77777777" w:rsidR="00171113" w:rsidRDefault="00FC53AE" w:rsidP="0065262A">
            <w:pPr>
              <w:pStyle w:val="Text"/>
            </w:pPr>
            <w:r>
              <w:t>Value</w:t>
            </w:r>
            <w:r w:rsidR="00171113">
              <w:rPr>
                <w:rStyle w:val="FootnoteReference"/>
              </w:rPr>
              <w:footnoteReference w:id="11"/>
            </w:r>
            <w:r w:rsidR="00171113" w:rsidRPr="00B37111">
              <w:t xml:space="preserve"> </w:t>
            </w:r>
          </w:p>
        </w:tc>
        <w:tc>
          <w:tcPr>
            <w:tcW w:w="1682" w:type="dxa"/>
            <w:shd w:val="clear" w:color="auto" w:fill="auto"/>
          </w:tcPr>
          <w:p w14:paraId="2682B9BB" w14:textId="77777777" w:rsidR="00171113" w:rsidRDefault="00171113" w:rsidP="0065262A">
            <w:pPr>
              <w:pStyle w:val="Text"/>
            </w:pPr>
            <w:r>
              <w:t xml:space="preserve">Location </w:t>
            </w:r>
            <w:r w:rsidRPr="00B37111">
              <w:t>of equipment (physical address)</w:t>
            </w:r>
          </w:p>
        </w:tc>
        <w:tc>
          <w:tcPr>
            <w:tcW w:w="2798" w:type="dxa"/>
            <w:shd w:val="clear" w:color="auto" w:fill="auto"/>
          </w:tcPr>
          <w:p w14:paraId="001BF89B" w14:textId="7C8BBC2B" w:rsidR="00171113" w:rsidRDefault="00171113" w:rsidP="0065262A">
            <w:pPr>
              <w:pStyle w:val="Text"/>
            </w:pPr>
            <w:r>
              <w:t>Disbursement Method &amp; Date (</w:t>
            </w:r>
            <w:r w:rsidR="003E2D39">
              <w:t>retain</w:t>
            </w:r>
            <w:r w:rsidR="00F66893">
              <w:rPr>
                <w:rStyle w:val="FootnoteReference"/>
              </w:rPr>
              <w:footnoteReference w:id="12"/>
            </w:r>
            <w:r>
              <w:t>, sold</w:t>
            </w:r>
            <w:r w:rsidR="00AE6B92">
              <w:rPr>
                <w:rStyle w:val="FootnoteReference"/>
              </w:rPr>
              <w:footnoteReference w:id="13"/>
            </w:r>
            <w:r>
              <w:t>, redistribute</w:t>
            </w:r>
            <w:r>
              <w:rPr>
                <w:rStyle w:val="FootnoteReference"/>
              </w:rPr>
              <w:footnoteReference w:id="14"/>
            </w:r>
            <w:r>
              <w:t>, recycle, donate, throw away)</w:t>
            </w:r>
            <w:r>
              <w:rPr>
                <w:rStyle w:val="FootnoteReference"/>
              </w:rPr>
              <w:footnoteReference w:id="15"/>
            </w:r>
            <w:r>
              <w:tab/>
            </w:r>
          </w:p>
        </w:tc>
        <w:tc>
          <w:tcPr>
            <w:tcW w:w="2160" w:type="dxa"/>
            <w:shd w:val="clear" w:color="auto" w:fill="auto"/>
          </w:tcPr>
          <w:p w14:paraId="4C1CF23A" w14:textId="77777777" w:rsidR="00171113" w:rsidRDefault="00171113" w:rsidP="0065262A">
            <w:pPr>
              <w:pStyle w:val="Text"/>
            </w:pPr>
            <w:r>
              <w:t>Explain why disbursement method was chosen.</w:t>
            </w:r>
            <w:r>
              <w:rPr>
                <w:rStyle w:val="FootnoteReference"/>
              </w:rPr>
              <w:footnoteReference w:id="16"/>
            </w:r>
            <w:r>
              <w:t xml:space="preserve"> </w:t>
            </w:r>
          </w:p>
        </w:tc>
      </w:tr>
      <w:tr w:rsidR="00FC53AE" w14:paraId="1BE7D442" w14:textId="77777777" w:rsidTr="00FC53AE">
        <w:tc>
          <w:tcPr>
            <w:tcW w:w="1555" w:type="dxa"/>
            <w:shd w:val="clear" w:color="auto" w:fill="auto"/>
          </w:tcPr>
          <w:p w14:paraId="5610959D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554882C6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59CDBE7E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4511DC70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59428768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68518F00" w14:textId="77777777" w:rsidR="00171113" w:rsidRDefault="00171113" w:rsidP="0065262A">
            <w:pPr>
              <w:pStyle w:val="Text"/>
            </w:pPr>
          </w:p>
        </w:tc>
      </w:tr>
      <w:tr w:rsidR="00FC53AE" w14:paraId="0DBA336F" w14:textId="77777777" w:rsidTr="00FC53AE">
        <w:tc>
          <w:tcPr>
            <w:tcW w:w="1555" w:type="dxa"/>
            <w:shd w:val="clear" w:color="auto" w:fill="auto"/>
          </w:tcPr>
          <w:p w14:paraId="27C6B8FA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0DB30FDD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297437E0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6A9054C1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3E105BC9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149E0889" w14:textId="77777777" w:rsidR="00171113" w:rsidRDefault="00171113" w:rsidP="0065262A">
            <w:pPr>
              <w:pStyle w:val="Text"/>
            </w:pPr>
          </w:p>
        </w:tc>
      </w:tr>
      <w:tr w:rsidR="00FC53AE" w14:paraId="76CF69F6" w14:textId="77777777" w:rsidTr="00FC53AE">
        <w:tc>
          <w:tcPr>
            <w:tcW w:w="1555" w:type="dxa"/>
            <w:shd w:val="clear" w:color="auto" w:fill="auto"/>
          </w:tcPr>
          <w:p w14:paraId="3B53DDA0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1B6A14B9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4FA9CFA1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408F25D6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4EAB4E1F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1CE0CAC3" w14:textId="77777777" w:rsidR="00171113" w:rsidRDefault="00171113" w:rsidP="0065262A">
            <w:pPr>
              <w:pStyle w:val="Text"/>
            </w:pPr>
          </w:p>
        </w:tc>
      </w:tr>
      <w:tr w:rsidR="00FC53AE" w14:paraId="2D9B1C95" w14:textId="77777777" w:rsidTr="00FC53AE">
        <w:tc>
          <w:tcPr>
            <w:tcW w:w="1555" w:type="dxa"/>
            <w:shd w:val="clear" w:color="auto" w:fill="auto"/>
          </w:tcPr>
          <w:p w14:paraId="0E20FB61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22587934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372E85E0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0ED2AEE1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438BB2AC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61524E85" w14:textId="77777777" w:rsidR="00171113" w:rsidRDefault="00171113" w:rsidP="0065262A">
            <w:pPr>
              <w:pStyle w:val="Text"/>
            </w:pPr>
          </w:p>
        </w:tc>
      </w:tr>
      <w:tr w:rsidR="00FC53AE" w14:paraId="49AECF4D" w14:textId="77777777" w:rsidTr="00FC53AE">
        <w:tc>
          <w:tcPr>
            <w:tcW w:w="1555" w:type="dxa"/>
            <w:shd w:val="clear" w:color="auto" w:fill="auto"/>
          </w:tcPr>
          <w:p w14:paraId="32A458EC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65F41293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5F797E1F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52E85A9B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36E8C300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1A8DB6E9" w14:textId="77777777" w:rsidR="00171113" w:rsidRDefault="00171113" w:rsidP="0065262A">
            <w:pPr>
              <w:pStyle w:val="Text"/>
            </w:pPr>
          </w:p>
        </w:tc>
      </w:tr>
      <w:tr w:rsidR="00FC53AE" w14:paraId="67801943" w14:textId="77777777" w:rsidTr="00FC53AE">
        <w:tc>
          <w:tcPr>
            <w:tcW w:w="1555" w:type="dxa"/>
            <w:shd w:val="clear" w:color="auto" w:fill="auto"/>
          </w:tcPr>
          <w:p w14:paraId="5253A1D3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6D740839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176C541E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31E3BB78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089BC9C2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5B97BED0" w14:textId="77777777" w:rsidR="00171113" w:rsidRDefault="00171113" w:rsidP="0065262A">
            <w:pPr>
              <w:pStyle w:val="Text"/>
            </w:pPr>
          </w:p>
        </w:tc>
      </w:tr>
      <w:tr w:rsidR="00FC53AE" w14:paraId="4D81A8EB" w14:textId="77777777" w:rsidTr="00FC53AE">
        <w:tc>
          <w:tcPr>
            <w:tcW w:w="1555" w:type="dxa"/>
            <w:shd w:val="clear" w:color="auto" w:fill="auto"/>
          </w:tcPr>
          <w:p w14:paraId="3856082A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57841184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00A0E221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370FB20D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702E810D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4319BD58" w14:textId="77777777" w:rsidR="00171113" w:rsidRDefault="00171113" w:rsidP="0065262A">
            <w:pPr>
              <w:pStyle w:val="Text"/>
            </w:pPr>
          </w:p>
        </w:tc>
      </w:tr>
      <w:tr w:rsidR="00FC53AE" w14:paraId="480E9110" w14:textId="77777777" w:rsidTr="00FC53AE">
        <w:tc>
          <w:tcPr>
            <w:tcW w:w="1555" w:type="dxa"/>
            <w:shd w:val="clear" w:color="auto" w:fill="auto"/>
          </w:tcPr>
          <w:p w14:paraId="023A11F2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08CF2AD6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0EAB16E2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54999CFB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24281F51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32462538" w14:textId="77777777" w:rsidR="00171113" w:rsidRDefault="00171113" w:rsidP="0065262A">
            <w:pPr>
              <w:pStyle w:val="Text"/>
            </w:pPr>
          </w:p>
        </w:tc>
      </w:tr>
      <w:tr w:rsidR="00FC53AE" w14:paraId="11B7598C" w14:textId="77777777" w:rsidTr="00FC53AE">
        <w:tc>
          <w:tcPr>
            <w:tcW w:w="1555" w:type="dxa"/>
            <w:shd w:val="clear" w:color="auto" w:fill="auto"/>
          </w:tcPr>
          <w:p w14:paraId="71DFE3BB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353083BB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213A6E15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599DEA9A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1A3E0105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57B9E5F2" w14:textId="77777777" w:rsidR="00171113" w:rsidRDefault="00171113" w:rsidP="0065262A">
            <w:pPr>
              <w:pStyle w:val="Text"/>
            </w:pPr>
          </w:p>
        </w:tc>
      </w:tr>
      <w:tr w:rsidR="00FC53AE" w14:paraId="6198772A" w14:textId="77777777" w:rsidTr="00FC53AE">
        <w:tc>
          <w:tcPr>
            <w:tcW w:w="1555" w:type="dxa"/>
            <w:shd w:val="clear" w:color="auto" w:fill="auto"/>
          </w:tcPr>
          <w:p w14:paraId="41F3012A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22806FAB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3448AA92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62C46666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23993C36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48A79F56" w14:textId="77777777" w:rsidR="00171113" w:rsidRDefault="00171113" w:rsidP="0065262A">
            <w:pPr>
              <w:pStyle w:val="Text"/>
            </w:pPr>
          </w:p>
        </w:tc>
      </w:tr>
      <w:tr w:rsidR="00FC53AE" w14:paraId="6E2FC86D" w14:textId="77777777" w:rsidTr="00FC53AE">
        <w:tc>
          <w:tcPr>
            <w:tcW w:w="1555" w:type="dxa"/>
            <w:shd w:val="clear" w:color="auto" w:fill="auto"/>
          </w:tcPr>
          <w:p w14:paraId="312066B1" w14:textId="77777777" w:rsidR="00171113" w:rsidRDefault="00171113" w:rsidP="0065262A">
            <w:pPr>
              <w:pStyle w:val="Text"/>
            </w:pPr>
          </w:p>
        </w:tc>
        <w:tc>
          <w:tcPr>
            <w:tcW w:w="1253" w:type="dxa"/>
            <w:shd w:val="clear" w:color="auto" w:fill="auto"/>
          </w:tcPr>
          <w:p w14:paraId="43106560" w14:textId="77777777" w:rsidR="00171113" w:rsidRDefault="00171113" w:rsidP="0065262A">
            <w:pPr>
              <w:pStyle w:val="Text"/>
            </w:pPr>
          </w:p>
        </w:tc>
        <w:tc>
          <w:tcPr>
            <w:tcW w:w="1568" w:type="dxa"/>
            <w:shd w:val="clear" w:color="auto" w:fill="auto"/>
          </w:tcPr>
          <w:p w14:paraId="670DDBE1" w14:textId="77777777" w:rsidR="00171113" w:rsidRDefault="00171113" w:rsidP="0065262A">
            <w:pPr>
              <w:pStyle w:val="Text"/>
            </w:pPr>
          </w:p>
        </w:tc>
        <w:tc>
          <w:tcPr>
            <w:tcW w:w="1682" w:type="dxa"/>
            <w:shd w:val="clear" w:color="auto" w:fill="auto"/>
          </w:tcPr>
          <w:p w14:paraId="19B935EF" w14:textId="77777777" w:rsidR="00171113" w:rsidRPr="00B37111" w:rsidRDefault="00171113" w:rsidP="0065262A">
            <w:pPr>
              <w:pStyle w:val="Text"/>
            </w:pPr>
          </w:p>
        </w:tc>
        <w:tc>
          <w:tcPr>
            <w:tcW w:w="2798" w:type="dxa"/>
            <w:shd w:val="clear" w:color="auto" w:fill="auto"/>
          </w:tcPr>
          <w:p w14:paraId="7156DA94" w14:textId="77777777" w:rsidR="00171113" w:rsidRDefault="00171113" w:rsidP="0065262A">
            <w:pPr>
              <w:pStyle w:val="Text"/>
            </w:pPr>
          </w:p>
        </w:tc>
        <w:tc>
          <w:tcPr>
            <w:tcW w:w="2160" w:type="dxa"/>
            <w:shd w:val="clear" w:color="auto" w:fill="auto"/>
          </w:tcPr>
          <w:p w14:paraId="2C0C47EB" w14:textId="77777777" w:rsidR="00171113" w:rsidRDefault="00171113" w:rsidP="0065262A">
            <w:pPr>
              <w:pStyle w:val="Text"/>
            </w:pPr>
          </w:p>
        </w:tc>
      </w:tr>
    </w:tbl>
    <w:p w14:paraId="3A28F76F" w14:textId="77777777" w:rsidR="00171113" w:rsidRDefault="00171113" w:rsidP="005877F1">
      <w:pPr>
        <w:pStyle w:val="Text"/>
      </w:pPr>
    </w:p>
    <w:p w14:paraId="50A91E49" w14:textId="77777777" w:rsidR="00171113" w:rsidRDefault="00171113" w:rsidP="005877F1">
      <w:pPr>
        <w:pStyle w:val="Text"/>
      </w:pPr>
    </w:p>
    <w:p w14:paraId="02FBC2DF" w14:textId="77777777" w:rsidR="00171113" w:rsidRDefault="00171113" w:rsidP="005877F1">
      <w:pPr>
        <w:pStyle w:val="Text"/>
      </w:pPr>
    </w:p>
    <w:p w14:paraId="6B6E2539" w14:textId="77777777" w:rsidR="00171113" w:rsidRPr="00D167BF" w:rsidRDefault="00171113" w:rsidP="005877F1">
      <w:pPr>
        <w:pStyle w:val="Text"/>
      </w:pPr>
    </w:p>
    <w:sectPr w:rsidR="00171113" w:rsidRPr="00D167BF" w:rsidSect="003B3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0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4C272" w14:textId="77777777" w:rsidR="004F0E39" w:rsidRDefault="004F0E39" w:rsidP="00D167BF">
      <w:pPr>
        <w:spacing w:after="0" w:line="240" w:lineRule="auto"/>
      </w:pPr>
      <w:r>
        <w:separator/>
      </w:r>
    </w:p>
  </w:endnote>
  <w:endnote w:type="continuationSeparator" w:id="0">
    <w:p w14:paraId="7FD74B9E" w14:textId="77777777" w:rsidR="004F0E39" w:rsidRDefault="004F0E39" w:rsidP="00D167BF">
      <w:pPr>
        <w:spacing w:after="0" w:line="240" w:lineRule="auto"/>
      </w:pPr>
      <w:r>
        <w:continuationSeparator/>
      </w:r>
    </w:p>
  </w:endnote>
  <w:endnote w:type="continuationNotice" w:id="1">
    <w:p w14:paraId="2F5A0F75" w14:textId="77777777" w:rsidR="004F0E39" w:rsidRDefault="004F0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B529" w14:textId="77777777" w:rsidR="00610166" w:rsidRDefault="00610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599E" w14:textId="77777777" w:rsidR="00610166" w:rsidRDefault="00610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1888" w14:textId="77777777" w:rsidR="00E37B4D" w:rsidRDefault="00E37B4D" w:rsidP="00E37B4D">
    <w:pPr>
      <w:pStyle w:val="Footer"/>
      <w:tabs>
        <w:tab w:val="clear" w:pos="9360"/>
        <w:tab w:val="right" w:pos="10800"/>
      </w:tabs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CCFF2" w14:textId="77777777" w:rsidR="004F0E39" w:rsidRDefault="004F0E39" w:rsidP="00D167BF">
      <w:pPr>
        <w:spacing w:after="0" w:line="240" w:lineRule="auto"/>
      </w:pPr>
      <w:r>
        <w:separator/>
      </w:r>
    </w:p>
  </w:footnote>
  <w:footnote w:type="continuationSeparator" w:id="0">
    <w:p w14:paraId="35523885" w14:textId="77777777" w:rsidR="004F0E39" w:rsidRDefault="004F0E39" w:rsidP="00D167BF">
      <w:pPr>
        <w:spacing w:after="0" w:line="240" w:lineRule="auto"/>
      </w:pPr>
      <w:r>
        <w:continuationSeparator/>
      </w:r>
    </w:p>
  </w:footnote>
  <w:footnote w:type="continuationNotice" w:id="1">
    <w:p w14:paraId="2C04968B" w14:textId="77777777" w:rsidR="004F0E39" w:rsidRDefault="004F0E39">
      <w:pPr>
        <w:spacing w:after="0" w:line="240" w:lineRule="auto"/>
      </w:pPr>
    </w:p>
  </w:footnote>
  <w:footnote w:id="2">
    <w:p w14:paraId="05D11635" w14:textId="77777777" w:rsidR="00B37111" w:rsidRDefault="00B37111" w:rsidP="00171113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Grantees must receive disposition instructions from the awarding agency for equipment acquired under the Federal award per 2 CFR §200.313(e)</w:t>
      </w:r>
    </w:p>
  </w:footnote>
  <w:footnote w:id="3">
    <w:p w14:paraId="414D9638" w14:textId="77777777" w:rsidR="00B37111" w:rsidRDefault="00B37111" w:rsidP="00171113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</w:t>
      </w:r>
      <w:r w:rsidRPr="00B37111">
        <w:t>List the fair market value the day of inventory.</w:t>
      </w:r>
    </w:p>
  </w:footnote>
  <w:footnote w:id="4">
    <w:p w14:paraId="5888A734" w14:textId="7B04CF81" w:rsidR="00F66893" w:rsidRDefault="00F66893" w:rsidP="00F66893">
      <w:pPr>
        <w:pStyle w:val="CommentText"/>
        <w:ind w:right="180"/>
      </w:pPr>
      <w:r>
        <w:rPr>
          <w:rStyle w:val="FootnoteReference"/>
        </w:rPr>
        <w:footnoteRef/>
      </w:r>
      <w:r>
        <w:t xml:space="preserve"> Equipment may be retained if it will continue to be used for adult education classes under continued AEFLA</w:t>
      </w:r>
      <w:r w:rsidR="002B37A4">
        <w:t>/IELCE</w:t>
      </w:r>
      <w:r>
        <w:t xml:space="preserve"> or AELA funding or if it is under the $5,000 </w:t>
      </w:r>
      <w:r w:rsidR="00556DEB">
        <w:t xml:space="preserve">unit cost </w:t>
      </w:r>
      <w:r>
        <w:t>limit.</w:t>
      </w:r>
    </w:p>
  </w:footnote>
  <w:footnote w:id="5">
    <w:p w14:paraId="3304EA78" w14:textId="49F97FD9" w:rsidR="00663405" w:rsidRDefault="00663405">
      <w:pPr>
        <w:pStyle w:val="FootnoteText"/>
      </w:pPr>
      <w:r>
        <w:rPr>
          <w:rStyle w:val="FootnoteReference"/>
        </w:rPr>
        <w:footnoteRef/>
      </w:r>
      <w:r>
        <w:t xml:space="preserve"> 2 CFR 200.313(e) </w:t>
      </w:r>
    </w:p>
  </w:footnote>
  <w:footnote w:id="6">
    <w:p w14:paraId="0D834CF6" w14:textId="1B445E4B" w:rsidR="00B37111" w:rsidRPr="00B37111" w:rsidRDefault="00B37111" w:rsidP="00CB53EC">
      <w:pPr>
        <w:pStyle w:val="Footer"/>
        <w:spacing w:after="120"/>
        <w:ind w:right="0"/>
        <w:rPr>
          <w:sz w:val="20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26C8E">
        <w:rPr>
          <w:sz w:val="20"/>
          <w:szCs w:val="18"/>
        </w:rPr>
        <w:t>Transfers to another agency must have prior approval from CDE</w:t>
      </w:r>
      <w:r w:rsidR="009D1287">
        <w:rPr>
          <w:sz w:val="20"/>
          <w:szCs w:val="18"/>
        </w:rPr>
        <w:t>.</w:t>
      </w:r>
      <w:r w:rsidR="001204F3">
        <w:rPr>
          <w:sz w:val="20"/>
          <w:szCs w:val="18"/>
        </w:rPr>
        <w:t xml:space="preserve"> Please contact your </w:t>
      </w:r>
      <w:r w:rsidR="002B37A4">
        <w:rPr>
          <w:sz w:val="20"/>
          <w:szCs w:val="18"/>
        </w:rPr>
        <w:t>P</w:t>
      </w:r>
      <w:r w:rsidR="001204F3">
        <w:rPr>
          <w:sz w:val="20"/>
          <w:szCs w:val="18"/>
        </w:rPr>
        <w:t xml:space="preserve">rogram </w:t>
      </w:r>
      <w:r w:rsidR="002B37A4">
        <w:rPr>
          <w:sz w:val="20"/>
          <w:szCs w:val="18"/>
        </w:rPr>
        <w:t>Coordinator</w:t>
      </w:r>
      <w:r w:rsidR="001204F3">
        <w:rPr>
          <w:sz w:val="20"/>
          <w:szCs w:val="18"/>
        </w:rPr>
        <w:t>.</w:t>
      </w:r>
    </w:p>
  </w:footnote>
  <w:footnote w:id="7">
    <w:p w14:paraId="012C2F65" w14:textId="77777777" w:rsidR="00B37111" w:rsidRDefault="00B37111" w:rsidP="00171113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</w:t>
      </w:r>
      <w:r w:rsidRPr="00B37111">
        <w:t>Grantees may choose to keep equipment with a current, per unit fair market value of $5,000 or less for continued programming and activities.</w:t>
      </w:r>
    </w:p>
  </w:footnote>
  <w:footnote w:id="8">
    <w:p w14:paraId="1722E7BF" w14:textId="77777777" w:rsidR="00B37111" w:rsidRDefault="00B37111" w:rsidP="00171113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If redistributing equipment, list the receiving organization. If retaining the equipment for continued</w:t>
      </w:r>
      <w:r w:rsidR="009D1287">
        <w:t xml:space="preserve"> adult education</w:t>
      </w:r>
      <w:r>
        <w:t xml:space="preserve"> programming and activities,</w:t>
      </w:r>
      <w:r w:rsidR="009D1287">
        <w:t xml:space="preserve"> or for some other Federal or State program,</w:t>
      </w:r>
      <w:r>
        <w:t xml:space="preserve"> indicate that here.</w:t>
      </w:r>
    </w:p>
  </w:footnote>
  <w:footnote w:id="9">
    <w:p w14:paraId="65FB4E0B" w14:textId="64E79E95" w:rsidR="00EB0A08" w:rsidRDefault="00EB0A08" w:rsidP="006051EE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Unused supplies </w:t>
      </w:r>
      <w:proofErr w:type="gramStart"/>
      <w:r>
        <w:t>means</w:t>
      </w:r>
      <w:proofErr w:type="gramEnd"/>
      <w:r>
        <w:t xml:space="preserve"> supplies </w:t>
      </w:r>
      <w:r w:rsidR="006051EE">
        <w:t xml:space="preserve">that are in new condition, not having been used or opened before. </w:t>
      </w:r>
    </w:p>
  </w:footnote>
  <w:footnote w:id="10">
    <w:p w14:paraId="31214AC1" w14:textId="77777777" w:rsidR="00171113" w:rsidRDefault="00171113" w:rsidP="00171113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</w:t>
      </w:r>
      <w:r w:rsidRPr="00171113">
        <w:t>2 CFR §200.314</w:t>
      </w:r>
    </w:p>
  </w:footnote>
  <w:footnote w:id="11">
    <w:p w14:paraId="653D8E36" w14:textId="77777777" w:rsidR="00171113" w:rsidRDefault="00171113" w:rsidP="00171113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</w:t>
      </w:r>
      <w:r w:rsidRPr="00B37111">
        <w:t>List the fair market value the day of inventory.</w:t>
      </w:r>
    </w:p>
  </w:footnote>
  <w:footnote w:id="12">
    <w:p w14:paraId="0585A9BD" w14:textId="775C6083" w:rsidR="00F66893" w:rsidRDefault="00F66893" w:rsidP="00F66893">
      <w:pPr>
        <w:pStyle w:val="FootnoteText"/>
        <w:ind w:right="180"/>
      </w:pPr>
      <w:r>
        <w:rPr>
          <w:rStyle w:val="FootnoteReference"/>
        </w:rPr>
        <w:footnoteRef/>
      </w:r>
      <w:r>
        <w:t xml:space="preserve"> </w:t>
      </w:r>
      <w:r w:rsidR="00240E77">
        <w:t xml:space="preserve">Supplies </w:t>
      </w:r>
      <w:r>
        <w:t xml:space="preserve">may be retained </w:t>
      </w:r>
      <w:r w:rsidR="00240E77">
        <w:t>if they</w:t>
      </w:r>
      <w:r>
        <w:t xml:space="preserve"> will continue to be used for adult education classes under continued AEFLA</w:t>
      </w:r>
      <w:r w:rsidR="00A8636A">
        <w:t>/IELCE</w:t>
      </w:r>
      <w:r>
        <w:t xml:space="preserve"> or AELA funding or if </w:t>
      </w:r>
      <w:r w:rsidR="00240E77">
        <w:t>they are</w:t>
      </w:r>
      <w:r>
        <w:t xml:space="preserve"> under the $5,000 cumulative limit.</w:t>
      </w:r>
    </w:p>
  </w:footnote>
  <w:footnote w:id="13">
    <w:p w14:paraId="17BEABB2" w14:textId="3E0A349C" w:rsidR="00AE6B92" w:rsidRDefault="00AE6B92">
      <w:pPr>
        <w:pStyle w:val="FootnoteText"/>
      </w:pPr>
      <w:r>
        <w:rPr>
          <w:rStyle w:val="FootnoteReference"/>
        </w:rPr>
        <w:footnoteRef/>
      </w:r>
      <w:r>
        <w:t xml:space="preserve"> 2 CFR 200.314(a) </w:t>
      </w:r>
    </w:p>
  </w:footnote>
  <w:footnote w:id="14">
    <w:p w14:paraId="73CD7A0B" w14:textId="41C2ED6B" w:rsidR="00171113" w:rsidRPr="00B37111" w:rsidRDefault="00171113" w:rsidP="00CB53EC">
      <w:pPr>
        <w:pStyle w:val="Footer"/>
        <w:spacing w:after="120"/>
        <w:ind w:right="0"/>
        <w:rPr>
          <w:sz w:val="20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2A7156" w:rsidRPr="002A7156">
        <w:rPr>
          <w:sz w:val="20"/>
          <w:szCs w:val="20"/>
        </w:rPr>
        <w:t>Red</w:t>
      </w:r>
      <w:r w:rsidR="002A7156">
        <w:rPr>
          <w:sz w:val="20"/>
          <w:szCs w:val="18"/>
        </w:rPr>
        <w:t>istribution</w:t>
      </w:r>
      <w:r w:rsidRPr="00126C8E">
        <w:rPr>
          <w:sz w:val="20"/>
          <w:szCs w:val="18"/>
        </w:rPr>
        <w:t xml:space="preserve"> to another agency must have prior approval from CDE</w:t>
      </w:r>
      <w:r w:rsidR="00166207">
        <w:rPr>
          <w:sz w:val="20"/>
          <w:szCs w:val="18"/>
        </w:rPr>
        <w:t>.</w:t>
      </w:r>
      <w:r w:rsidR="00FC53AE">
        <w:rPr>
          <w:sz w:val="20"/>
          <w:szCs w:val="18"/>
        </w:rPr>
        <w:t xml:space="preserve"> Contact your </w:t>
      </w:r>
      <w:r w:rsidR="00A8636A">
        <w:rPr>
          <w:sz w:val="20"/>
          <w:szCs w:val="18"/>
        </w:rPr>
        <w:t>Program Coordinator</w:t>
      </w:r>
      <w:r w:rsidR="00FC53AE">
        <w:rPr>
          <w:sz w:val="20"/>
          <w:szCs w:val="18"/>
        </w:rPr>
        <w:t>.</w:t>
      </w:r>
    </w:p>
  </w:footnote>
  <w:footnote w:id="15">
    <w:p w14:paraId="2CCFF5A7" w14:textId="578418CB" w:rsidR="00171113" w:rsidRDefault="00171113" w:rsidP="00171113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</w:t>
      </w:r>
      <w:r w:rsidRPr="00171113">
        <w:t xml:space="preserve">Grantees may choose to keep up to $5,000 of unused </w:t>
      </w:r>
      <w:r w:rsidR="00A8636A" w:rsidRPr="00171113">
        <w:t>supplies but</w:t>
      </w:r>
      <w:r w:rsidRPr="00171113">
        <w:t xml:space="preserve"> must create a distribution plan for the remainder.</w:t>
      </w:r>
    </w:p>
  </w:footnote>
  <w:footnote w:id="16">
    <w:p w14:paraId="410FD2AC" w14:textId="77777777" w:rsidR="00171113" w:rsidRDefault="00171113" w:rsidP="00171113">
      <w:pPr>
        <w:pStyle w:val="FootnoteText"/>
        <w:ind w:right="0"/>
      </w:pPr>
      <w:r>
        <w:rPr>
          <w:rStyle w:val="FootnoteReference"/>
        </w:rPr>
        <w:footnoteRef/>
      </w:r>
      <w:r>
        <w:t xml:space="preserve"> </w:t>
      </w:r>
      <w:r w:rsidRPr="00171113">
        <w:t xml:space="preserve">If redistributing supplies, list the receiving organization. If retaining the </w:t>
      </w:r>
      <w:r w:rsidR="006612DE">
        <w:t>supplies</w:t>
      </w:r>
      <w:r w:rsidR="006612DE" w:rsidRPr="00171113">
        <w:t xml:space="preserve"> </w:t>
      </w:r>
      <w:r w:rsidRPr="00171113">
        <w:t xml:space="preserve">for continued </w:t>
      </w:r>
      <w:r w:rsidR="006612DE">
        <w:t xml:space="preserve">adult education </w:t>
      </w:r>
      <w:r w:rsidRPr="00171113">
        <w:t xml:space="preserve">programming and activities, </w:t>
      </w:r>
      <w:r w:rsidR="006612DE">
        <w:t xml:space="preserve">or for some other Federal or State program, </w:t>
      </w:r>
      <w:r w:rsidRPr="00171113">
        <w:t>indicate that here.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91FEF" w14:textId="77777777" w:rsidR="00610166" w:rsidRDefault="00610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13B1" w14:textId="77777777" w:rsidR="00B97B79" w:rsidRDefault="00B97B79">
    <w:pPr>
      <w:pStyle w:val="Header"/>
    </w:pPr>
  </w:p>
  <w:p w14:paraId="21AA4F16" w14:textId="7709A082" w:rsidR="00431BA8" w:rsidRDefault="008E1E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D31A6E" wp14:editId="421E75C1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0"/>
          <wp:wrapNone/>
          <wp:docPr id="3" name="Picture 4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C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8B40B" w14:textId="211FBA1C" w:rsidR="00431BA8" w:rsidRDefault="00171113">
    <w:pPr>
      <w:pStyle w:val="Header"/>
    </w:pPr>
    <w:r>
      <w:t>Close</w:t>
    </w:r>
    <w:r w:rsidR="009D1287">
      <w:t>o</w:t>
    </w:r>
    <w:r>
      <w:t xml:space="preserve">ut: </w:t>
    </w:r>
    <w:r w:rsidR="00610166">
      <w:t>AEFLA</w:t>
    </w:r>
    <w:r w:rsidR="00067E7D">
      <w:t>/IELCE</w:t>
    </w:r>
    <w:r w:rsidR="00610166">
      <w:t xml:space="preserve"> </w:t>
    </w:r>
    <w:r>
      <w:t>Asset Inventory</w:t>
    </w:r>
  </w:p>
  <w:p w14:paraId="6C0FD48C" w14:textId="77777777" w:rsidR="005877F1" w:rsidRDefault="005877F1">
    <w:pPr>
      <w:pStyle w:val="Header"/>
    </w:pPr>
  </w:p>
  <w:p w14:paraId="3659F4CC" w14:textId="6C7A43CD" w:rsidR="00431BA8" w:rsidRDefault="008E1E1C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3A9C639" wp14:editId="25984C93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6889750" cy="0"/>
              <wp:effectExtent l="0" t="0" r="0" b="0"/>
              <wp:wrapNone/>
              <wp:docPr id="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C3647" id="Straight Connector 2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.55pt" to="54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BA177" w14:textId="10B4E639" w:rsidR="00D167BF" w:rsidRDefault="008E1E1C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32677DC" wp14:editId="09E0E5CD">
          <wp:simplePos x="0" y="0"/>
          <wp:positionH relativeFrom="column">
            <wp:posOffset>-469265</wp:posOffset>
          </wp:positionH>
          <wp:positionV relativeFrom="paragraph">
            <wp:posOffset>0</wp:posOffset>
          </wp:positionV>
          <wp:extent cx="7809230" cy="1610360"/>
          <wp:effectExtent l="0" t="0" r="0" b="0"/>
          <wp:wrapNone/>
          <wp:docPr id="6" name="Picture 1" descr="CDE logo on blu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DE logo on blue backgroun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61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F"/>
    <w:rsid w:val="00004786"/>
    <w:rsid w:val="0002746A"/>
    <w:rsid w:val="00033BB1"/>
    <w:rsid w:val="00052B92"/>
    <w:rsid w:val="0005355D"/>
    <w:rsid w:val="00067E7D"/>
    <w:rsid w:val="00075B7C"/>
    <w:rsid w:val="00082181"/>
    <w:rsid w:val="000B7E41"/>
    <w:rsid w:val="000F6114"/>
    <w:rsid w:val="00107B93"/>
    <w:rsid w:val="001204F3"/>
    <w:rsid w:val="0013025E"/>
    <w:rsid w:val="00144D4E"/>
    <w:rsid w:val="0016092E"/>
    <w:rsid w:val="00166207"/>
    <w:rsid w:val="00171113"/>
    <w:rsid w:val="001831EC"/>
    <w:rsid w:val="001E371E"/>
    <w:rsid w:val="001E41BB"/>
    <w:rsid w:val="0023427A"/>
    <w:rsid w:val="00240E77"/>
    <w:rsid w:val="002509C8"/>
    <w:rsid w:val="00267EAC"/>
    <w:rsid w:val="00271FFF"/>
    <w:rsid w:val="0027388F"/>
    <w:rsid w:val="002A7156"/>
    <w:rsid w:val="002B37A4"/>
    <w:rsid w:val="002C326E"/>
    <w:rsid w:val="002D3E62"/>
    <w:rsid w:val="002E06F3"/>
    <w:rsid w:val="003451D9"/>
    <w:rsid w:val="00355716"/>
    <w:rsid w:val="00360B75"/>
    <w:rsid w:val="003B2485"/>
    <w:rsid w:val="003B33D9"/>
    <w:rsid w:val="003B69EA"/>
    <w:rsid w:val="003E2D39"/>
    <w:rsid w:val="00400055"/>
    <w:rsid w:val="00431BA8"/>
    <w:rsid w:val="00432170"/>
    <w:rsid w:val="004433C7"/>
    <w:rsid w:val="004752A9"/>
    <w:rsid w:val="004871B2"/>
    <w:rsid w:val="004F0E39"/>
    <w:rsid w:val="00501B31"/>
    <w:rsid w:val="0050220A"/>
    <w:rsid w:val="00511C26"/>
    <w:rsid w:val="005216FD"/>
    <w:rsid w:val="00556DEB"/>
    <w:rsid w:val="00567F4D"/>
    <w:rsid w:val="005877F1"/>
    <w:rsid w:val="005B1490"/>
    <w:rsid w:val="005B159A"/>
    <w:rsid w:val="0060452F"/>
    <w:rsid w:val="006051EE"/>
    <w:rsid w:val="00610166"/>
    <w:rsid w:val="00622A0F"/>
    <w:rsid w:val="006320D0"/>
    <w:rsid w:val="00633F69"/>
    <w:rsid w:val="0064241A"/>
    <w:rsid w:val="0065262A"/>
    <w:rsid w:val="006612DE"/>
    <w:rsid w:val="00663405"/>
    <w:rsid w:val="006879FC"/>
    <w:rsid w:val="0069309A"/>
    <w:rsid w:val="006A3AD3"/>
    <w:rsid w:val="006D13D6"/>
    <w:rsid w:val="006D5E8E"/>
    <w:rsid w:val="0070646C"/>
    <w:rsid w:val="007201AA"/>
    <w:rsid w:val="007319B2"/>
    <w:rsid w:val="00733D34"/>
    <w:rsid w:val="00774D3D"/>
    <w:rsid w:val="007866B4"/>
    <w:rsid w:val="00805867"/>
    <w:rsid w:val="00816A1E"/>
    <w:rsid w:val="008307A7"/>
    <w:rsid w:val="0086052E"/>
    <w:rsid w:val="00863B2A"/>
    <w:rsid w:val="00890AFE"/>
    <w:rsid w:val="00894EAE"/>
    <w:rsid w:val="008C45F6"/>
    <w:rsid w:val="008E1E1C"/>
    <w:rsid w:val="008E7A1F"/>
    <w:rsid w:val="008F7FAB"/>
    <w:rsid w:val="00905939"/>
    <w:rsid w:val="00941421"/>
    <w:rsid w:val="00952BC1"/>
    <w:rsid w:val="00996ADB"/>
    <w:rsid w:val="009C140C"/>
    <w:rsid w:val="009D1287"/>
    <w:rsid w:val="009D330D"/>
    <w:rsid w:val="00A05132"/>
    <w:rsid w:val="00A15A0B"/>
    <w:rsid w:val="00A37AE5"/>
    <w:rsid w:val="00A577A6"/>
    <w:rsid w:val="00A626EF"/>
    <w:rsid w:val="00A8636A"/>
    <w:rsid w:val="00AA4C44"/>
    <w:rsid w:val="00AA7C21"/>
    <w:rsid w:val="00AB60B1"/>
    <w:rsid w:val="00AE6B92"/>
    <w:rsid w:val="00B13F91"/>
    <w:rsid w:val="00B37111"/>
    <w:rsid w:val="00B97B79"/>
    <w:rsid w:val="00BB121E"/>
    <w:rsid w:val="00BB5754"/>
    <w:rsid w:val="00BC6B59"/>
    <w:rsid w:val="00BD2C14"/>
    <w:rsid w:val="00BE01B3"/>
    <w:rsid w:val="00C426F9"/>
    <w:rsid w:val="00C52128"/>
    <w:rsid w:val="00C76352"/>
    <w:rsid w:val="00C874F1"/>
    <w:rsid w:val="00C93292"/>
    <w:rsid w:val="00CA6567"/>
    <w:rsid w:val="00CA7EDD"/>
    <w:rsid w:val="00CB19E5"/>
    <w:rsid w:val="00CB53EC"/>
    <w:rsid w:val="00CC1FA1"/>
    <w:rsid w:val="00CD18A2"/>
    <w:rsid w:val="00CE5480"/>
    <w:rsid w:val="00D167BF"/>
    <w:rsid w:val="00D41CDA"/>
    <w:rsid w:val="00D55DD1"/>
    <w:rsid w:val="00DC6500"/>
    <w:rsid w:val="00DE123D"/>
    <w:rsid w:val="00DE7B5D"/>
    <w:rsid w:val="00E37B4D"/>
    <w:rsid w:val="00E62140"/>
    <w:rsid w:val="00E62912"/>
    <w:rsid w:val="00E8179F"/>
    <w:rsid w:val="00EB0A08"/>
    <w:rsid w:val="00EC755C"/>
    <w:rsid w:val="00ED09B4"/>
    <w:rsid w:val="00EE7A55"/>
    <w:rsid w:val="00F17AEA"/>
    <w:rsid w:val="00F21B26"/>
    <w:rsid w:val="00F36301"/>
    <w:rsid w:val="00F66893"/>
    <w:rsid w:val="00F705FA"/>
    <w:rsid w:val="00F8163B"/>
    <w:rsid w:val="00F85200"/>
    <w:rsid w:val="00F860D7"/>
    <w:rsid w:val="00F952CB"/>
    <w:rsid w:val="00FA2B12"/>
    <w:rsid w:val="00FC53AE"/>
    <w:rsid w:val="00FC5710"/>
    <w:rsid w:val="00FF562F"/>
    <w:rsid w:val="0139C56B"/>
    <w:rsid w:val="29FA46CF"/>
    <w:rsid w:val="3F2BF5AE"/>
    <w:rsid w:val="6024F691"/>
    <w:rsid w:val="689B8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2AFD"/>
  <w15:chartTrackingRefBased/>
  <w15:docId w15:val="{D3FE9C8A-9495-43DD-94A2-A4D67FAA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character" w:styleId="Hyperlink">
    <w:name w:val="Hyperlink"/>
    <w:uiPriority w:val="99"/>
    <w:unhideWhenUsed/>
    <w:rsid w:val="00B3711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1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111"/>
  </w:style>
  <w:style w:type="character" w:styleId="FootnoteReference">
    <w:name w:val="footnote reference"/>
    <w:uiPriority w:val="99"/>
    <w:semiHidden/>
    <w:unhideWhenUsed/>
    <w:rsid w:val="00B37111"/>
    <w:rPr>
      <w:vertAlign w:val="superscript"/>
    </w:rPr>
  </w:style>
  <w:style w:type="table" w:styleId="TableGrid">
    <w:name w:val="Table Grid"/>
    <w:basedOn w:val="TableNormal"/>
    <w:uiPriority w:val="39"/>
    <w:rsid w:val="00B3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D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2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12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12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37A4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EC755C"/>
    <w:rPr>
      <w:color w:val="96607D"/>
      <w:u w:val="single"/>
    </w:rPr>
  </w:style>
  <w:style w:type="character" w:styleId="Mention">
    <w:name w:val="Mention"/>
    <w:basedOn w:val="DefaultParagraphFont"/>
    <w:uiPriority w:val="99"/>
    <w:unhideWhenUsed/>
    <w:rsid w:val="00EE7A55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57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5716"/>
  </w:style>
  <w:style w:type="character" w:styleId="EndnoteReference">
    <w:name w:val="endnote reference"/>
    <w:basedOn w:val="DefaultParagraphFont"/>
    <w:uiPriority w:val="99"/>
    <w:semiHidden/>
    <w:unhideWhenUsed/>
    <w:rsid w:val="00355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state.co.us/cdeadult/grantees/handbook/budget-object-code-referenc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de.state.co.us/cdeadult/grantees/handbook/budget-object-code-referenc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F7A21373F5B439686459C8A2FC511" ma:contentTypeVersion="16" ma:contentTypeDescription="Create a new document." ma:contentTypeScope="" ma:versionID="721948bda7c5b3f9c38348298c746f20">
  <xsd:schema xmlns:xsd="http://www.w3.org/2001/XMLSchema" xmlns:xs="http://www.w3.org/2001/XMLSchema" xmlns:p="http://schemas.microsoft.com/office/2006/metadata/properties" xmlns:ns2="82f6c701-f2c4-4e85-a209-cb95f0e7a9b6" xmlns:ns3="3c8edfed-d806-47ac-bfab-e32cf4eeeec1" targetNamespace="http://schemas.microsoft.com/office/2006/metadata/properties" ma:root="true" ma:fieldsID="c5d98b2ab35a490a0d07baa0b50a13b9" ns2:_="" ns3:_="">
    <xsd:import namespace="82f6c701-f2c4-4e85-a209-cb95f0e7a9b6"/>
    <xsd:import namespace="3c8edfed-d806-47ac-bfab-e32cf4eee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c701-f2c4-4e85-a209-cb95f0e7a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edfed-d806-47ac-bfab-e32cf4eee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bc5970-59f8-4725-8777-6f64a93633e8}" ma:internalName="TaxCatchAll" ma:showField="CatchAllData" ma:web="3c8edfed-d806-47ac-bfab-e32cf4eee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f6c701-f2c4-4e85-a209-cb95f0e7a9b6">
      <Terms xmlns="http://schemas.microsoft.com/office/infopath/2007/PartnerControls"/>
    </lcf76f155ced4ddcb4097134ff3c332f>
    <TaxCatchAll xmlns="3c8edfed-d806-47ac-bfab-e32cf4eeeec1" xsi:nil="true"/>
    <SharedWithUsers xmlns="3c8edfed-d806-47ac-bfab-e32cf4eeeec1">
      <UserInfo>
        <DisplayName>Miller, Lacey</DisplayName>
        <AccountId>21</AccountId>
        <AccountType/>
      </UserInfo>
      <UserInfo>
        <DisplayName>Miller, Tricia</DisplayName>
        <AccountId>41</AccountId>
        <AccountType/>
      </UserInfo>
      <UserInfo>
        <DisplayName>Anderson, Laura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40A546-42AC-4D2B-9C35-88B47CB5A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06AC7-BD99-4AA9-BEFE-F83A554E9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4590A-EB3C-48F6-A451-8826E0E08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6c701-f2c4-4e85-a209-cb95f0e7a9b6"/>
    <ds:schemaRef ds:uri="3c8edfed-d806-47ac-bfab-e32cf4eee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6425B-5BE1-4B4A-B7B5-D7F6C9A0CC4F}">
  <ds:schemaRefs>
    <ds:schemaRef ds:uri="http://schemas.microsoft.com/office/2006/metadata/properties"/>
    <ds:schemaRef ds:uri="http://purl.org/dc/terms/"/>
    <ds:schemaRef ds:uri="3c8edfed-d806-47ac-bfab-e32cf4eeeec1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2f6c701-f2c4-4e85-a209-cb95f0e7a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938</CharactersWithSpaces>
  <SharedDoc>false</SharedDoc>
  <HLinks>
    <vt:vector size="12" baseType="variant">
      <vt:variant>
        <vt:i4>3473455</vt:i4>
      </vt:variant>
      <vt:variant>
        <vt:i4>3</vt:i4>
      </vt:variant>
      <vt:variant>
        <vt:i4>0</vt:i4>
      </vt:variant>
      <vt:variant>
        <vt:i4>5</vt:i4>
      </vt:variant>
      <vt:variant>
        <vt:lpwstr>https://www.cde.state.co.us/cdeadult/grantees/handbook/budget-object-code-reference</vt:lpwstr>
      </vt:variant>
      <vt:variant>
        <vt:lpwstr/>
      </vt:variant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https://www.cde.state.co.us/cdeadult/grantees/handbook/budget-object-code-reference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Miller, Lacey</cp:lastModifiedBy>
  <cp:revision>2</cp:revision>
  <dcterms:created xsi:type="dcterms:W3CDTF">2024-05-24T15:30:00Z</dcterms:created>
  <dcterms:modified xsi:type="dcterms:W3CDTF">2024-05-24T15:30:00Z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0x010100398F7A21373F5B439686459C8A2FC511</vt:lpwstr>
  </property>
  <property fmtid="{D5CDD505-2E9C-101B-9397-08002B2CF9AE}" pid="3" name="MediaServiceImageTags">
    <vt:lpwstr/>
  </property>
</Properties>
</file>