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91C4" w14:textId="77777777" w:rsidR="00426AAF" w:rsidRDefault="00426AAF" w:rsidP="007D333E">
      <w:pPr>
        <w:pStyle w:val="Subhead"/>
      </w:pPr>
    </w:p>
    <w:p w14:paraId="0C8FEC44" w14:textId="77777777" w:rsidR="00CC5C5B" w:rsidRDefault="00CC5C5B" w:rsidP="007D333E">
      <w:pPr>
        <w:pStyle w:val="Subhead"/>
      </w:pPr>
    </w:p>
    <w:p w14:paraId="08679AF0" w14:textId="122A8206" w:rsidR="00281915" w:rsidRDefault="004B54ED" w:rsidP="007D333E">
      <w:pPr>
        <w:pStyle w:val="Subhead"/>
      </w:pPr>
      <w:r>
        <w:t>7</w:t>
      </w:r>
      <w:r w:rsidR="00281915" w:rsidRPr="00281915">
        <w:rPr>
          <w:vertAlign w:val="superscript"/>
        </w:rPr>
        <w:t>th</w:t>
      </w:r>
      <w:r w:rsidR="00281915">
        <w:t xml:space="preserve"> Office Hours Session- </w:t>
      </w:r>
      <w:r w:rsidR="005C5302">
        <w:t xml:space="preserve">April </w:t>
      </w:r>
      <w:r>
        <w:t>16</w:t>
      </w:r>
      <w:r w:rsidR="005C5302">
        <w:t>, 2021</w:t>
      </w:r>
      <w:r w:rsidR="00281915">
        <w:t xml:space="preserve"> </w:t>
      </w:r>
    </w:p>
    <w:p w14:paraId="09AF9F70" w14:textId="77777777" w:rsidR="00281915" w:rsidRDefault="00281915" w:rsidP="007D333E">
      <w:pPr>
        <w:pStyle w:val="Subhead"/>
      </w:pPr>
    </w:p>
    <w:p w14:paraId="674F79D7" w14:textId="77777777" w:rsidR="009C7275" w:rsidRPr="00317093" w:rsidRDefault="009C7275" w:rsidP="00A0589A">
      <w:r w:rsidRPr="00317093">
        <w:t>Updates from the State Office:</w:t>
      </w:r>
    </w:p>
    <w:p w14:paraId="7476BCE1" w14:textId="1EEA55BB" w:rsidR="00A0589A" w:rsidRPr="00317093" w:rsidRDefault="00A0589A" w:rsidP="009C7275">
      <w:pPr>
        <w:pStyle w:val="ListParagraph"/>
        <w:numPr>
          <w:ilvl w:val="0"/>
          <w:numId w:val="28"/>
        </w:numPr>
      </w:pPr>
      <w:r w:rsidRPr="00317093">
        <w:t>Extending the due date: 21</w:t>
      </w:r>
      <w:r w:rsidRPr="00525E98">
        <w:rPr>
          <w:vertAlign w:val="superscript"/>
        </w:rPr>
        <w:t>st</w:t>
      </w:r>
      <w:r w:rsidR="00525E98">
        <w:t xml:space="preserve"> </w:t>
      </w:r>
      <w:r w:rsidRPr="00317093">
        <w:t xml:space="preserve">CCLC Grant Application now due </w:t>
      </w:r>
      <w:r w:rsidRPr="00317093">
        <w:rPr>
          <w:highlight w:val="yellow"/>
        </w:rPr>
        <w:t>Wednesday, May 12, 2021 by 11:59PM</w:t>
      </w:r>
    </w:p>
    <w:p w14:paraId="2024E6D9" w14:textId="6E82D3E8" w:rsidR="00A0589A" w:rsidRPr="009C7275" w:rsidRDefault="009C7275" w:rsidP="009C7275">
      <w:pPr>
        <w:pStyle w:val="ListParagraph"/>
        <w:numPr>
          <w:ilvl w:val="0"/>
          <w:numId w:val="28"/>
        </w:numPr>
        <w:rPr>
          <w:bCs/>
        </w:rPr>
      </w:pPr>
      <w:r w:rsidRPr="00127093">
        <w:rPr>
          <w:bCs/>
          <w:u w:val="single"/>
        </w:rPr>
        <w:t>I</w:t>
      </w:r>
      <w:r w:rsidR="00525E98">
        <w:rPr>
          <w:bCs/>
          <w:u w:val="single"/>
        </w:rPr>
        <w:t>f</w:t>
      </w:r>
      <w:r w:rsidRPr="00317093">
        <w:rPr>
          <w:bCs/>
        </w:rPr>
        <w:t xml:space="preserve"> 21</w:t>
      </w:r>
      <w:r w:rsidRPr="00317093">
        <w:rPr>
          <w:bCs/>
          <w:vertAlign w:val="superscript"/>
        </w:rPr>
        <w:t>st</w:t>
      </w:r>
      <w:r w:rsidRPr="00317093">
        <w:rPr>
          <w:bCs/>
        </w:rPr>
        <w:t xml:space="preserve"> CCLC receives</w:t>
      </w:r>
      <w:r w:rsidRPr="009C7275">
        <w:rPr>
          <w:bCs/>
        </w:rPr>
        <w:t xml:space="preserve"> additional federal/state funding, equitable distribution chart caps found on page four of the RFA will not be applied for that specific funding. The caps will continue to apply for 21</w:t>
      </w:r>
      <w:r w:rsidRPr="009C7275">
        <w:rPr>
          <w:bCs/>
          <w:vertAlign w:val="superscript"/>
        </w:rPr>
        <w:t>st</w:t>
      </w:r>
      <w:r w:rsidRPr="009C7275">
        <w:rPr>
          <w:bCs/>
        </w:rPr>
        <w:t xml:space="preserve"> CCLC funding. See below. </w:t>
      </w:r>
    </w:p>
    <w:p w14:paraId="04CDFAC3" w14:textId="253D129C" w:rsidR="0055060D" w:rsidRPr="0055060D" w:rsidRDefault="009C7275" w:rsidP="0055060D">
      <w:pPr>
        <w:pStyle w:val="ListParagraph"/>
        <w:numPr>
          <w:ilvl w:val="0"/>
          <w:numId w:val="28"/>
        </w:numPr>
        <w:rPr>
          <w:bCs/>
        </w:rPr>
      </w:pPr>
      <w:r w:rsidRPr="009C7275">
        <w:rPr>
          <w:bCs/>
        </w:rPr>
        <w:t>New layout for ongoing FAQ</w:t>
      </w:r>
      <w:r w:rsidR="00525E98">
        <w:rPr>
          <w:bCs/>
        </w:rPr>
        <w:t>, organized by category.</w:t>
      </w:r>
    </w:p>
    <w:p w14:paraId="7455DA4C" w14:textId="0CAEBB74" w:rsidR="0055060D" w:rsidRPr="0055060D" w:rsidRDefault="0055060D" w:rsidP="0055060D">
      <w:pPr>
        <w:spacing w:after="0" w:line="240" w:lineRule="auto"/>
        <w:rPr>
          <w:b/>
        </w:rPr>
      </w:pPr>
      <w:r w:rsidRPr="00317093">
        <w:rPr>
          <w:b/>
          <w:highlight w:val="yellow"/>
        </w:rPr>
        <w:t>ANNOUNCEMENT</w:t>
      </w:r>
      <w:r w:rsidR="004B54ED">
        <w:rPr>
          <w:b/>
          <w:highlight w:val="yellow"/>
        </w:rPr>
        <w:t xml:space="preserve"> FROM LAST WEEK</w:t>
      </w:r>
      <w:r w:rsidRPr="00317093">
        <w:rPr>
          <w:b/>
          <w:highlight w:val="yellow"/>
        </w:rPr>
        <w:t>:</w:t>
      </w:r>
    </w:p>
    <w:p w14:paraId="759B8DF1" w14:textId="17B9073C" w:rsidR="00F23412" w:rsidRPr="00F23412" w:rsidRDefault="00F23412" w:rsidP="0055060D">
      <w:pPr>
        <w:spacing w:after="0" w:line="240" w:lineRule="auto"/>
        <w:rPr>
          <w:rFonts w:eastAsia="Times New Roman" w:cs="Times New Roman"/>
          <w:sz w:val="24"/>
          <w:szCs w:val="24"/>
        </w:rPr>
      </w:pPr>
      <w:r w:rsidRPr="00F23412">
        <w:rPr>
          <w:rFonts w:eastAsia="Times New Roman" w:cs="Arial"/>
          <w:color w:val="000000"/>
        </w:rPr>
        <w:t xml:space="preserve">CDE will award approximately $5.75 million in </w:t>
      </w:r>
      <w:r w:rsidR="00525E98" w:rsidRPr="00317093">
        <w:t>21</w:t>
      </w:r>
      <w:r w:rsidR="00525E98" w:rsidRPr="00525E98">
        <w:rPr>
          <w:vertAlign w:val="superscript"/>
        </w:rPr>
        <w:t>st</w:t>
      </w:r>
      <w:r w:rsidR="00525E98">
        <w:t xml:space="preserve"> </w:t>
      </w:r>
      <w:r w:rsidR="00525E98" w:rsidRPr="00317093">
        <w:t xml:space="preserve">CCLC </w:t>
      </w:r>
      <w:r w:rsidRPr="00F23412">
        <w:rPr>
          <w:rFonts w:eastAsia="Times New Roman" w:cs="Arial"/>
          <w:color w:val="000000"/>
        </w:rPr>
        <w:t xml:space="preserve">funding under Title IV, Part B of </w:t>
      </w:r>
      <w:proofErr w:type="gramStart"/>
      <w:r w:rsidRPr="00F23412">
        <w:rPr>
          <w:rFonts w:eastAsia="Times New Roman" w:cs="Arial"/>
          <w:color w:val="000000"/>
        </w:rPr>
        <w:t>the Every</w:t>
      </w:r>
      <w:proofErr w:type="gramEnd"/>
      <w:r w:rsidRPr="00F23412">
        <w:rPr>
          <w:rFonts w:eastAsia="Times New Roman" w:cs="Arial"/>
          <w:color w:val="000000"/>
        </w:rPr>
        <w:t xml:space="preserve"> Student Succeeds Act (ESSA) of 2015. Additional funding may be available for this opportunity through the ARP-ESSER III (Elementary and Secondary School Emergency Relief Fund an</w:t>
      </w:r>
      <w:r>
        <w:rPr>
          <w:rFonts w:eastAsia="Times New Roman" w:cs="Arial"/>
          <w:color w:val="000000"/>
        </w:rPr>
        <w:t>d the</w:t>
      </w:r>
      <w:r w:rsidRPr="00F23412">
        <w:rPr>
          <w:rFonts w:eastAsia="Times New Roman" w:cs="Arial"/>
          <w:color w:val="000000"/>
        </w:rPr>
        <w:t xml:space="preserve"> American Recovery Plan)</w:t>
      </w:r>
      <w:r w:rsidR="00317093">
        <w:rPr>
          <w:rFonts w:eastAsia="Times New Roman" w:cs="Arial"/>
          <w:color w:val="000000"/>
        </w:rPr>
        <w:t xml:space="preserve"> or other state/federal funding</w:t>
      </w:r>
      <w:r w:rsidRPr="00F23412">
        <w:rPr>
          <w:rFonts w:eastAsia="Times New Roman" w:cs="Arial"/>
          <w:color w:val="000000"/>
        </w:rPr>
        <w:t>. </w:t>
      </w:r>
    </w:p>
    <w:p w14:paraId="6BA14990" w14:textId="51C67E12"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If funding is available in addition to the annual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grant allocation for this competition, the additional funding will allow CDE to grant awards to applicants beyond the geographical distribution caps in the chart found on page four of the 2021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RFA. This additional federal/state funding will be awarded based on the highest scores of applicants after the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funding has been awarded and depleted. Applicants must score at least 210 points out of the 280 possible points in the narrative and bonus point sections to be approved for </w:t>
      </w:r>
      <w:r w:rsidR="00127093" w:rsidRPr="00F23412">
        <w:rPr>
          <w:rFonts w:eastAsia="Times New Roman" w:cs="Arial"/>
          <w:color w:val="000000"/>
        </w:rPr>
        <w:t>funding. *</w:t>
      </w:r>
    </w:p>
    <w:p w14:paraId="259012A0" w14:textId="1713073E"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For example, if a district has 25,000 or more students, it is currently allowed to have 14 total funded sites (seven sites with the district as the fiscal agent and seven sites with CBOs/non-district entities as the fiscal agent)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federal funding. If additional funds are available, and the applicant has included more sites than what can be funded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funding, the additional funding can go to sites the applicant applied for beyond the distribution chart caps. Application approval is dependent upon application scoring and how much additional funding is available. Please keep in mind that applicants can still include only six sites per submitted </w:t>
      </w:r>
      <w:r w:rsidR="00127093" w:rsidRPr="00F23412">
        <w:rPr>
          <w:rFonts w:eastAsia="Times New Roman" w:cs="Arial"/>
          <w:color w:val="000000"/>
        </w:rPr>
        <w:t>application but</w:t>
      </w:r>
      <w:r w:rsidRPr="00F23412">
        <w:rPr>
          <w:rFonts w:eastAsia="Times New Roman" w:cs="Arial"/>
          <w:color w:val="000000"/>
        </w:rPr>
        <w:t xml:space="preserve"> may submit additional applications to include more sites as they deem necessary. </w:t>
      </w:r>
    </w:p>
    <w:p w14:paraId="23273A9A"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See the updated chart below illustrating this example.</w:t>
      </w:r>
    </w:p>
    <w:tbl>
      <w:tblPr>
        <w:tblW w:w="0" w:type="auto"/>
        <w:tblCellMar>
          <w:top w:w="15" w:type="dxa"/>
          <w:left w:w="15" w:type="dxa"/>
          <w:bottom w:w="15" w:type="dxa"/>
          <w:right w:w="15" w:type="dxa"/>
        </w:tblCellMar>
        <w:tblLook w:val="04A0" w:firstRow="1" w:lastRow="0" w:firstColumn="1" w:lastColumn="0" w:noHBand="0" w:noVBand="1"/>
      </w:tblPr>
      <w:tblGrid>
        <w:gridCol w:w="1309"/>
        <w:gridCol w:w="2085"/>
        <w:gridCol w:w="2070"/>
        <w:gridCol w:w="2215"/>
        <w:gridCol w:w="2381"/>
      </w:tblGrid>
      <w:tr w:rsidR="00F23412" w:rsidRPr="00F23412" w14:paraId="3AF62F3F" w14:textId="77777777" w:rsidTr="0055060D">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2FFDB7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Number of Students</w:t>
            </w:r>
          </w:p>
          <w:p w14:paraId="1C92726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in 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93C29B8"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 </w:t>
            </w:r>
          </w:p>
          <w:p w14:paraId="5419502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each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25FAD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w:t>
            </w:r>
          </w:p>
          <w:p w14:paraId="4E149C7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Non-District Entities*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C347F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Maximum Number of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9AC9430"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Number of Centers funded with non-21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funding</w:t>
            </w:r>
          </w:p>
          <w:p w14:paraId="1CBDDDE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(if available)</w:t>
            </w:r>
          </w:p>
        </w:tc>
      </w:tr>
      <w:tr w:rsidR="00F23412" w:rsidRPr="00F23412" w14:paraId="77E9CF3B"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7F5F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E77D78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94259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C73F47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8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77544D" w14:textId="7FDA8DDA"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Unlimited based on scoring </w:t>
            </w:r>
            <w:r w:rsidR="0055060D" w:rsidRPr="00F23412">
              <w:rPr>
                <w:rFonts w:ascii="Arial" w:eastAsia="Times New Roman" w:hAnsi="Arial" w:cs="Arial"/>
                <w:color w:val="000000"/>
              </w:rPr>
              <w:t>and funding</w:t>
            </w:r>
            <w:r w:rsidRPr="00F23412">
              <w:rPr>
                <w:rFonts w:ascii="Arial" w:eastAsia="Times New Roman" w:hAnsi="Arial" w:cs="Arial"/>
                <w:color w:val="000000"/>
              </w:rPr>
              <w:t xml:space="preserve"> available</w:t>
            </w:r>
          </w:p>
        </w:tc>
      </w:tr>
      <w:tr w:rsidR="00F23412" w:rsidRPr="00F23412" w14:paraId="77BF3318" w14:textId="77777777" w:rsidTr="0055060D">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FC012A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1,001 - 5,000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98733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1883F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308224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1737A9"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2608B413" w14:textId="77777777" w:rsidTr="0055060D">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1824B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lastRenderedPageBreak/>
              <w:t>5,001 - 25,000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2456A3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C08321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7791F3"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 12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26E41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18E2AE40"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F10A7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25,001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82ADD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F8FD7F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C5DBC0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459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bl>
    <w:p w14:paraId="4B14CB29" w14:textId="55AB3402" w:rsidR="00F23412" w:rsidRPr="006359CA" w:rsidRDefault="00F23412" w:rsidP="006359CA">
      <w:pPr>
        <w:spacing w:before="240" w:after="240" w:line="240" w:lineRule="auto"/>
        <w:rPr>
          <w:rFonts w:eastAsia="Times New Roman" w:cs="Times New Roman"/>
          <w:i/>
          <w:iCs/>
          <w:sz w:val="24"/>
          <w:szCs w:val="24"/>
          <w:u w:val="single"/>
        </w:rPr>
      </w:pPr>
      <w:r w:rsidRPr="00F23412">
        <w:rPr>
          <w:rFonts w:eastAsia="Times New Roman" w:cs="Arial"/>
          <w:b/>
          <w:bCs/>
          <w:i/>
          <w:iCs/>
          <w:color w:val="262626"/>
          <w:u w:val="single"/>
        </w:rPr>
        <w:t xml:space="preserve"> </w:t>
      </w:r>
      <w:r w:rsidRPr="00F23412">
        <w:rPr>
          <w:rFonts w:eastAsia="Times New Roman" w:cs="Arial"/>
          <w:b/>
          <w:bCs/>
          <w:i/>
          <w:iCs/>
          <w:color w:val="000000"/>
          <w:u w:val="single"/>
        </w:rPr>
        <w:t>*</w:t>
      </w:r>
      <w:r w:rsidRPr="00F23412">
        <w:rPr>
          <w:rFonts w:eastAsia="Times New Roman" w:cs="Arial"/>
          <w:i/>
          <w:iCs/>
          <w:color w:val="000000"/>
          <w:u w:val="single"/>
        </w:rPr>
        <w:t xml:space="preserve"> For any additional funding outside of the federal allocation specific to ESSA Title IV, B (21st CCLC), the method of allocation and award may change depending upon federal guidelines and recommendations.  </w:t>
      </w:r>
    </w:p>
    <w:p w14:paraId="2F06AE90" w14:textId="329C3ED9" w:rsidR="0055060D" w:rsidRDefault="0055060D" w:rsidP="00281915">
      <w:pPr>
        <w:rPr>
          <w:b/>
        </w:rPr>
      </w:pPr>
      <w:r>
        <w:rPr>
          <w:b/>
        </w:rPr>
        <w:t>********************</w:t>
      </w:r>
    </w:p>
    <w:p w14:paraId="257297D4" w14:textId="5CDE6CD1" w:rsidR="0055060D" w:rsidRDefault="0055060D" w:rsidP="00281915">
      <w:pPr>
        <w:rPr>
          <w:b/>
        </w:rPr>
      </w:pPr>
      <w:r w:rsidRPr="00317093">
        <w:rPr>
          <w:b/>
          <w:highlight w:val="yellow"/>
        </w:rPr>
        <w:t>NEW QUESTIONS AND ANSWERS</w:t>
      </w:r>
    </w:p>
    <w:p w14:paraId="2D8C2F90" w14:textId="17DF81ED" w:rsidR="006359CA" w:rsidRPr="006359CA" w:rsidRDefault="00A0589A" w:rsidP="004B54ED">
      <w:pPr>
        <w:rPr>
          <w:b/>
        </w:rPr>
      </w:pPr>
      <w:r>
        <w:rPr>
          <w:b/>
        </w:rPr>
        <w:t xml:space="preserve">Q. </w:t>
      </w:r>
      <w:r w:rsidR="004B54ED" w:rsidRPr="004B54ED">
        <w:rPr>
          <w:b/>
        </w:rPr>
        <w:t xml:space="preserve">I am writing to find out if </w:t>
      </w:r>
      <w:r w:rsidR="004B54ED">
        <w:rPr>
          <w:b/>
        </w:rPr>
        <w:t>our higher education university</w:t>
      </w:r>
      <w:r w:rsidR="004B54ED" w:rsidRPr="004B54ED">
        <w:rPr>
          <w:b/>
        </w:rPr>
        <w:t>, a 501(c)(3) public entity, is eligible to apply to the 21</w:t>
      </w:r>
      <w:r w:rsidR="004B54ED" w:rsidRPr="00525E98">
        <w:rPr>
          <w:b/>
          <w:vertAlign w:val="superscript"/>
        </w:rPr>
        <w:t>st</w:t>
      </w:r>
      <w:r w:rsidR="00525E98">
        <w:rPr>
          <w:b/>
        </w:rPr>
        <w:t xml:space="preserve"> </w:t>
      </w:r>
      <w:r w:rsidR="004B54ED" w:rsidRPr="004B54ED">
        <w:rPr>
          <w:b/>
        </w:rPr>
        <w:t>CCLC Request for Applications (RFA) for Cohort IX.  We are hoping to submit a proposal for our community</w:t>
      </w:r>
      <w:r w:rsidR="004B54ED">
        <w:rPr>
          <w:b/>
        </w:rPr>
        <w:t>-</w:t>
      </w:r>
      <w:r w:rsidR="004B54ED" w:rsidRPr="004B54ED">
        <w:rPr>
          <w:b/>
        </w:rPr>
        <w:t xml:space="preserve">based program for high school students in STEM. This program is administered by students enrolled at the </w:t>
      </w:r>
      <w:r w:rsidR="004B54ED">
        <w:rPr>
          <w:b/>
        </w:rPr>
        <w:t>u</w:t>
      </w:r>
      <w:r w:rsidR="004B54ED" w:rsidRPr="004B54ED">
        <w:rPr>
          <w:b/>
        </w:rPr>
        <w:t xml:space="preserve">niversity so the proposal would be submitted on behalf of the university.  Please let us know if our institution is eligible for this award. </w:t>
      </w:r>
      <w:r>
        <w:rPr>
          <w:b/>
        </w:rPr>
        <w:t>If we do not apply for this RFA, when do you expect the next one to be released</w:t>
      </w:r>
      <w:r w:rsidR="006359CA">
        <w:rPr>
          <w:b/>
        </w:rPr>
        <w:t>?</w:t>
      </w:r>
    </w:p>
    <w:p w14:paraId="1E0BCFB4" w14:textId="6566FD97" w:rsidR="004B54ED" w:rsidRDefault="006359CA" w:rsidP="0055060D">
      <w:r w:rsidRPr="006359CA">
        <w:t xml:space="preserve">A. </w:t>
      </w:r>
      <w:r w:rsidR="004B54ED">
        <w:t xml:space="preserve">Based on the criteria in our RFA, the university should be eligible to apply. It is important to note, however, that the program is specific to K-12 grades and eligible fiscal agents must partner with at least one Colorado public school for programming that serves those students specific to the partner school. The partner school is the cohort of students that are served. When you stated you are a community-based program serving students in STEM, </w:t>
      </w:r>
      <w:r w:rsidR="00525E98">
        <w:t>the program</w:t>
      </w:r>
      <w:r w:rsidR="004B54ED">
        <w:t xml:space="preserve"> would need</w:t>
      </w:r>
      <w:r w:rsidR="00525E98">
        <w:t xml:space="preserve"> exist</w:t>
      </w:r>
      <w:r w:rsidR="004B54ED">
        <w:t xml:space="preserve"> in partnership with a specific school (or schools if you are writing a grant for more than one center/site). This </w:t>
      </w:r>
      <w:r w:rsidR="00525E98">
        <w:t>grant</w:t>
      </w:r>
      <w:r w:rsidR="004B54ED">
        <w:t xml:space="preserve"> does not fund a program that exists independent of a school partner.  Also, if the students are enrolled at the university, are they all enrolled in high school as well? They would need to be enrolled in the partner K-12 school.</w:t>
      </w:r>
    </w:p>
    <w:p w14:paraId="2075C72D" w14:textId="77777777" w:rsidR="004B54ED" w:rsidRDefault="004B54ED" w:rsidP="0055060D"/>
    <w:p w14:paraId="6E454E1A" w14:textId="1F5B8FC3" w:rsidR="004B54ED" w:rsidRDefault="004B54ED" w:rsidP="00A0589A">
      <w:pPr>
        <w:rPr>
          <w:b/>
        </w:rPr>
      </w:pPr>
      <w:r w:rsidRPr="004B54ED">
        <w:rPr>
          <w:b/>
        </w:rPr>
        <w:t>Q. Is there anything specific that we should refer to in the application to prove that we are an applicant who met high-quality past performance in Cohort VII in order to qualify for the 10 bonus points? Or is that information that the reviewers will already have?</w:t>
      </w:r>
    </w:p>
    <w:p w14:paraId="7826A409" w14:textId="2741F904" w:rsidR="00127093" w:rsidRPr="00127093" w:rsidRDefault="00A0589A" w:rsidP="00A0589A">
      <w:r w:rsidRPr="009C7275">
        <w:t xml:space="preserve">A. </w:t>
      </w:r>
      <w:r w:rsidR="004B54ED" w:rsidRPr="004B54ED">
        <w:t>The reviewers will have that information based on state office records and information. However, if you want to mention that in your narrative as well</w:t>
      </w:r>
      <w:r w:rsidR="00525E98">
        <w:t>,</w:t>
      </w:r>
      <w:r w:rsidR="004B54ED" w:rsidRPr="004B54ED">
        <w:t xml:space="preserve"> you are welcome to do so. </w:t>
      </w:r>
    </w:p>
    <w:p w14:paraId="53B9A6C8" w14:textId="77777777" w:rsidR="004B54ED" w:rsidRDefault="004B54ED" w:rsidP="00A0589A">
      <w:pPr>
        <w:rPr>
          <w:b/>
        </w:rPr>
      </w:pPr>
    </w:p>
    <w:p w14:paraId="4FBE4810" w14:textId="3704A98D" w:rsidR="004B54ED" w:rsidRPr="004B54ED" w:rsidRDefault="004B54ED" w:rsidP="004B54ED">
      <w:pPr>
        <w:rPr>
          <w:b/>
        </w:rPr>
      </w:pPr>
      <w:r>
        <w:rPr>
          <w:b/>
        </w:rPr>
        <w:t>Q. We are a charter school. Our district s</w:t>
      </w:r>
      <w:r w:rsidRPr="004B54ED">
        <w:rPr>
          <w:b/>
        </w:rPr>
        <w:t>uperintendent tells us she can</w:t>
      </w:r>
      <w:r>
        <w:rPr>
          <w:b/>
        </w:rPr>
        <w:t>not</w:t>
      </w:r>
      <w:r w:rsidRPr="004B54ED">
        <w:rPr>
          <w:b/>
        </w:rPr>
        <w:t xml:space="preserve"> sign for </w:t>
      </w:r>
      <w:r>
        <w:rPr>
          <w:b/>
        </w:rPr>
        <w:t>our charter, even though they are our authorizer</w:t>
      </w:r>
      <w:r w:rsidRPr="004B54ED">
        <w:rPr>
          <w:b/>
        </w:rPr>
        <w:t>.</w:t>
      </w:r>
      <w:r>
        <w:rPr>
          <w:b/>
        </w:rPr>
        <w:t xml:space="preserve">  Can you provide more information on who should be the authorizing agent for a charter </w:t>
      </w:r>
      <w:proofErr w:type="gramStart"/>
      <w:r>
        <w:rPr>
          <w:b/>
        </w:rPr>
        <w:t>school.</w:t>
      </w:r>
      <w:proofErr w:type="gramEnd"/>
      <w:r>
        <w:rPr>
          <w:b/>
        </w:rPr>
        <w:t xml:space="preserve"> </w:t>
      </w:r>
    </w:p>
    <w:p w14:paraId="66911A45" w14:textId="6B6492DD" w:rsidR="00A0589A" w:rsidRDefault="004B54ED" w:rsidP="004B54ED">
      <w:r>
        <w:t xml:space="preserve">A. </w:t>
      </w:r>
      <w:r w:rsidRPr="004B54ED">
        <w:t>Charter schools may submit an application through their authorizing school district or the Charter School Institute (CSI), per Colorado Revised Statutes (CRS 22-30.5-104</w:t>
      </w:r>
      <w:r w:rsidR="00525E98">
        <w:t>)</w:t>
      </w:r>
      <w:r w:rsidRPr="004B54ED">
        <w:t>. A charter school’s authorizer or CSI will be the fiscal agent if awarded funds. The fiscal agent will be held to the same maximum funded centers noted on page four of the RFA and all requirements found in the RFA.</w:t>
      </w:r>
    </w:p>
    <w:p w14:paraId="1DB739C3" w14:textId="115A7A72" w:rsidR="00554551" w:rsidRPr="00407B0A" w:rsidRDefault="00554551" w:rsidP="00554551">
      <w:pPr>
        <w:rPr>
          <w:b/>
          <w:bCs/>
        </w:rPr>
      </w:pPr>
      <w:r w:rsidRPr="00407B0A">
        <w:rPr>
          <w:b/>
          <w:bCs/>
        </w:rPr>
        <w:lastRenderedPageBreak/>
        <w:t xml:space="preserve">Q. </w:t>
      </w:r>
      <w:r w:rsidRPr="00407B0A">
        <w:rPr>
          <w:b/>
          <w:bCs/>
        </w:rPr>
        <w:t xml:space="preserve">If a high school currently has a </w:t>
      </w:r>
      <w:proofErr w:type="gramStart"/>
      <w:r w:rsidRPr="00407B0A">
        <w:rPr>
          <w:b/>
          <w:bCs/>
        </w:rPr>
        <w:t>federally-funded</w:t>
      </w:r>
      <w:proofErr w:type="gramEnd"/>
      <w:r w:rsidRPr="00407B0A">
        <w:rPr>
          <w:b/>
          <w:bCs/>
        </w:rPr>
        <w:t xml:space="preserve"> Gear Up program, is there a conflict with 21st CCLC project serving the same students? The Gear Up program takes place during the school day.</w:t>
      </w:r>
    </w:p>
    <w:p w14:paraId="3454CB7F" w14:textId="78F344F7" w:rsidR="00554551" w:rsidRDefault="00407B0A" w:rsidP="00554551">
      <w:r>
        <w:t xml:space="preserve">A. </w:t>
      </w:r>
      <w:proofErr w:type="gramStart"/>
      <w:r w:rsidR="00554551" w:rsidRPr="00407B0A">
        <w:t>As long as</w:t>
      </w:r>
      <w:proofErr w:type="gramEnd"/>
      <w:r w:rsidR="00554551" w:rsidRPr="00407B0A">
        <w:t xml:space="preserve"> there is not a redundancy in services or the funding sources are not both being charged for the same work, there should not be a problem.  They may make a great partner, bringing some resources to the table, with the afterschool/out-of-school time program bring others.  </w:t>
      </w:r>
    </w:p>
    <w:p w14:paraId="27A99E9C" w14:textId="31368949" w:rsidR="00407B0A" w:rsidRPr="00407B0A" w:rsidRDefault="00407B0A" w:rsidP="00554551">
      <w:pPr>
        <w:rPr>
          <w:b/>
          <w:bCs/>
        </w:rPr>
      </w:pPr>
    </w:p>
    <w:p w14:paraId="155D27A8" w14:textId="77777777" w:rsidR="002C5B03" w:rsidRPr="0095027C" w:rsidRDefault="002C5B03" w:rsidP="002C5B03">
      <w:pPr>
        <w:pStyle w:val="Subhead"/>
      </w:pPr>
      <w:r w:rsidRPr="0095027C">
        <w:t>Q. Does the superintendent of partnering school districts need to sign if the lead applicant is a CBO?</w:t>
      </w:r>
    </w:p>
    <w:p w14:paraId="38592776" w14:textId="77777777" w:rsidR="002C5B03" w:rsidRDefault="002C5B03" w:rsidP="002C5B03">
      <w:pPr>
        <w:spacing w:after="0" w:line="240" w:lineRule="auto"/>
        <w:rPr>
          <w:rFonts w:eastAsia="Times New Roman"/>
        </w:rPr>
      </w:pPr>
      <w:bookmarkStart w:id="0" w:name="_Hlk69470123"/>
    </w:p>
    <w:p w14:paraId="31C71FBD" w14:textId="5EB09BE2" w:rsidR="002C5B03" w:rsidRPr="00CC1CBE" w:rsidRDefault="002C5B03" w:rsidP="002C5B03">
      <w:pPr>
        <w:spacing w:after="0" w:line="240" w:lineRule="auto"/>
        <w:rPr>
          <w:rFonts w:eastAsia="Times New Roman"/>
        </w:rPr>
      </w:pPr>
      <w:r w:rsidRPr="00CC1CBE">
        <w:rPr>
          <w:rFonts w:eastAsia="Times New Roman"/>
        </w:rPr>
        <w:t xml:space="preserve">A. Yes, </w:t>
      </w:r>
      <w:r>
        <w:rPr>
          <w:rFonts w:eastAsia="Times New Roman"/>
        </w:rPr>
        <w:t>t</w:t>
      </w:r>
      <w:r w:rsidRPr="00CC1CBE">
        <w:rPr>
          <w:rFonts w:eastAsia="Times New Roman"/>
        </w:rPr>
        <w:t xml:space="preserve">he </w:t>
      </w:r>
      <w:r>
        <w:rPr>
          <w:rFonts w:eastAsia="Times New Roman"/>
        </w:rPr>
        <w:t>s</w:t>
      </w:r>
      <w:r w:rsidRPr="00CC1CBE">
        <w:rPr>
          <w:rFonts w:eastAsia="Times New Roman"/>
        </w:rPr>
        <w:t>uperintendent of partnering schools does needs to sign the application. This is important for ensuring ongoing support from the partnering district.  </w:t>
      </w:r>
    </w:p>
    <w:bookmarkEnd w:id="0"/>
    <w:p w14:paraId="5D5748FB" w14:textId="150F41C3" w:rsidR="00407B0A" w:rsidRPr="00407B0A" w:rsidRDefault="00407B0A" w:rsidP="00554551"/>
    <w:p w14:paraId="0C631443" w14:textId="192FBE51" w:rsidR="00554551" w:rsidRPr="004B54ED" w:rsidRDefault="00554551" w:rsidP="004B54ED"/>
    <w:sectPr w:rsidR="00554551" w:rsidRPr="004B54ED" w:rsidSect="00452E80">
      <w:headerReference w:type="default" r:id="rId8"/>
      <w:footerReference w:type="default" r:id="rId9"/>
      <w:headerReference w:type="first" r:id="rId10"/>
      <w:footerReference w:type="first" r:id="rId11"/>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3CFC" w14:textId="77777777" w:rsidR="001266DC" w:rsidRDefault="001266DC" w:rsidP="00426AAF">
      <w:pPr>
        <w:spacing w:after="0" w:line="240" w:lineRule="auto"/>
      </w:pPr>
      <w:r>
        <w:separator/>
      </w:r>
    </w:p>
  </w:endnote>
  <w:endnote w:type="continuationSeparator" w:id="0">
    <w:p w14:paraId="1D6D22D0" w14:textId="77777777" w:rsidR="001266DC" w:rsidRDefault="001266DC"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2976CD5E" w14:textId="26097F37"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FB0" w:rsidRPr="00E14FB0">
          <w:rPr>
            <w:b/>
            <w:bCs/>
            <w:noProof/>
          </w:rPr>
          <w:t>11</w:t>
        </w:r>
        <w:r>
          <w:rPr>
            <w:b/>
            <w:bCs/>
            <w:noProof/>
          </w:rPr>
          <w:fldChar w:fldCharType="end"/>
        </w:r>
        <w:r>
          <w:rPr>
            <w:b/>
            <w:bCs/>
          </w:rPr>
          <w:t xml:space="preserve"> | </w:t>
        </w:r>
        <w:r w:rsidR="004B54ED">
          <w:rPr>
            <w:color w:val="7F7F7F" w:themeColor="background1" w:themeShade="7F"/>
          </w:rPr>
          <w:t>April</w:t>
        </w:r>
        <w:r w:rsidR="00725367">
          <w:rPr>
            <w:color w:val="7F7F7F" w:themeColor="background1" w:themeShade="7F"/>
          </w:rPr>
          <w:t xml:space="preserve"> 2021</w:t>
        </w:r>
      </w:p>
    </w:sdtContent>
  </w:sdt>
  <w:p w14:paraId="4DB15CB3" w14:textId="77777777" w:rsidR="00E71020" w:rsidRDefault="00E7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8545BB" w14:textId="77777777"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33E" w:rsidRPr="007D333E">
          <w:rPr>
            <w:b/>
            <w:bCs/>
            <w:noProof/>
          </w:rPr>
          <w:t>1</w:t>
        </w:r>
        <w:r>
          <w:rPr>
            <w:b/>
            <w:bCs/>
            <w:noProof/>
          </w:rPr>
          <w:fldChar w:fldCharType="end"/>
        </w:r>
        <w:r>
          <w:rPr>
            <w:b/>
            <w:bCs/>
          </w:rPr>
          <w:t xml:space="preserve"> | </w:t>
        </w:r>
        <w:r w:rsidR="00554551">
          <w:rPr>
            <w:color w:val="7F7F7F" w:themeColor="background1" w:themeShade="7F"/>
          </w:rPr>
          <w:t>April</w:t>
        </w:r>
        <w:r w:rsidR="00725367">
          <w:rPr>
            <w:color w:val="7F7F7F" w:themeColor="background1" w:themeShade="7F"/>
          </w:rPr>
          <w:t xml:space="preserve"> 2021</w:t>
        </w:r>
      </w:p>
    </w:sdtContent>
  </w:sdt>
  <w:p w14:paraId="71D11F27" w14:textId="77777777" w:rsidR="00452E80" w:rsidRDefault="0045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FF87" w14:textId="77777777" w:rsidR="001266DC" w:rsidRDefault="001266DC" w:rsidP="00426AAF">
      <w:pPr>
        <w:spacing w:after="0" w:line="240" w:lineRule="auto"/>
      </w:pPr>
      <w:r>
        <w:separator/>
      </w:r>
    </w:p>
  </w:footnote>
  <w:footnote w:type="continuationSeparator" w:id="0">
    <w:p w14:paraId="799C3000" w14:textId="77777777" w:rsidR="001266DC" w:rsidRDefault="001266DC" w:rsidP="0042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C90" w14:textId="77777777" w:rsidR="00452E80" w:rsidRDefault="00452E80" w:rsidP="00452E80">
    <w:pPr>
      <w:pStyle w:val="Header"/>
    </w:pPr>
    <w:r>
      <w:rPr>
        <w:noProof/>
      </w:rPr>
      <w:drawing>
        <wp:anchor distT="0" distB="0" distL="114300" distR="114300" simplePos="0" relativeHeight="251660288" behindDoc="0" locked="0" layoutInCell="1" allowOverlap="1" wp14:anchorId="5CA440B5" wp14:editId="245335E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ADF2D" w14:textId="1DA47C12" w:rsidR="00452E80" w:rsidRDefault="00452E80">
    <w:pPr>
      <w:pStyle w:val="Header"/>
    </w:pPr>
    <w:r>
      <w:t>21</w:t>
    </w:r>
    <w:r w:rsidRPr="00452E80">
      <w:rPr>
        <w:vertAlign w:val="superscript"/>
      </w:rPr>
      <w:t>st</w:t>
    </w:r>
    <w:r>
      <w:t xml:space="preserve"> CCLC FAQ for 202</w:t>
    </w:r>
    <w:r w:rsidR="004B54ED">
      <w:t>1</w:t>
    </w:r>
    <w:r>
      <w:t xml:space="preserve"> RFA</w:t>
    </w:r>
  </w:p>
  <w:p w14:paraId="3E70AA66" w14:textId="77777777"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2748743B" wp14:editId="219FB894">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A4E60B"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66BE" w14:textId="77777777"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0778C1A3" wp14:editId="3EA942B6">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7ABE8BB8" w14:textId="77777777"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7B03060E" w14:textId="77777777"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C2C68"/>
    <w:multiLevelType w:val="hybridMultilevel"/>
    <w:tmpl w:val="90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FAE"/>
    <w:multiLevelType w:val="hybridMultilevel"/>
    <w:tmpl w:val="E96A0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B0B09"/>
    <w:multiLevelType w:val="hybridMultilevel"/>
    <w:tmpl w:val="295E4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F7173"/>
    <w:multiLevelType w:val="hybridMultilevel"/>
    <w:tmpl w:val="2EF4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5559"/>
    <w:multiLevelType w:val="multilevel"/>
    <w:tmpl w:val="024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4A0D21"/>
    <w:multiLevelType w:val="hybridMultilevel"/>
    <w:tmpl w:val="55DE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432E8"/>
    <w:multiLevelType w:val="hybridMultilevel"/>
    <w:tmpl w:val="763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8645CB"/>
    <w:multiLevelType w:val="hybridMultilevel"/>
    <w:tmpl w:val="715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01416B"/>
    <w:multiLevelType w:val="hybridMultilevel"/>
    <w:tmpl w:val="B2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21"/>
  </w:num>
  <w:num w:numId="7">
    <w:abstractNumId w:val="19"/>
  </w:num>
  <w:num w:numId="8">
    <w:abstractNumId w:val="8"/>
  </w:num>
  <w:num w:numId="9">
    <w:abstractNumId w:val="0"/>
  </w:num>
  <w:num w:numId="10">
    <w:abstractNumId w:val="31"/>
  </w:num>
  <w:num w:numId="11">
    <w:abstractNumId w:val="27"/>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2"/>
  </w:num>
  <w:num w:numId="17">
    <w:abstractNumId w:val="2"/>
  </w:num>
  <w:num w:numId="18">
    <w:abstractNumId w:val="20"/>
  </w:num>
  <w:num w:numId="19">
    <w:abstractNumId w:val="6"/>
  </w:num>
  <w:num w:numId="20">
    <w:abstractNumId w:val="14"/>
  </w:num>
  <w:num w:numId="21">
    <w:abstractNumId w:val="28"/>
  </w:num>
  <w:num w:numId="22">
    <w:abstractNumId w:val="9"/>
  </w:num>
  <w:num w:numId="23">
    <w:abstractNumId w:val="3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8"/>
  </w:num>
  <w:num w:numId="30">
    <w:abstractNumId w:val="22"/>
  </w:num>
  <w:num w:numId="31">
    <w:abstractNumId w:val="24"/>
  </w:num>
  <w:num w:numId="32">
    <w:abstractNumId w:val="29"/>
  </w:num>
  <w:num w:numId="33">
    <w:abstractNumId w:val="10"/>
  </w:num>
  <w:num w:numId="34">
    <w:abstractNumId w:val="1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3033"/>
    <w:rsid w:val="00016ADB"/>
    <w:rsid w:val="00024F48"/>
    <w:rsid w:val="00035E42"/>
    <w:rsid w:val="000467B1"/>
    <w:rsid w:val="0005064A"/>
    <w:rsid w:val="00064DC1"/>
    <w:rsid w:val="0007128B"/>
    <w:rsid w:val="00071C34"/>
    <w:rsid w:val="000C0B5B"/>
    <w:rsid w:val="00120BD0"/>
    <w:rsid w:val="001266DC"/>
    <w:rsid w:val="00127093"/>
    <w:rsid w:val="00141473"/>
    <w:rsid w:val="0018383F"/>
    <w:rsid w:val="001D53F2"/>
    <w:rsid w:val="00212E03"/>
    <w:rsid w:val="00217D82"/>
    <w:rsid w:val="00265586"/>
    <w:rsid w:val="00275B70"/>
    <w:rsid w:val="00281915"/>
    <w:rsid w:val="002B19A2"/>
    <w:rsid w:val="002C5B03"/>
    <w:rsid w:val="0031578F"/>
    <w:rsid w:val="00317093"/>
    <w:rsid w:val="0033020B"/>
    <w:rsid w:val="00373F97"/>
    <w:rsid w:val="003807B4"/>
    <w:rsid w:val="003B0A55"/>
    <w:rsid w:val="003B40F5"/>
    <w:rsid w:val="003B4A75"/>
    <w:rsid w:val="00407B0A"/>
    <w:rsid w:val="004133DE"/>
    <w:rsid w:val="00420129"/>
    <w:rsid w:val="00422E44"/>
    <w:rsid w:val="00426AAF"/>
    <w:rsid w:val="00450933"/>
    <w:rsid w:val="00452E80"/>
    <w:rsid w:val="0046332C"/>
    <w:rsid w:val="00481F08"/>
    <w:rsid w:val="00485C6A"/>
    <w:rsid w:val="004971FD"/>
    <w:rsid w:val="004A0C0D"/>
    <w:rsid w:val="004B54ED"/>
    <w:rsid w:val="004C0FE4"/>
    <w:rsid w:val="004E6481"/>
    <w:rsid w:val="004F03CC"/>
    <w:rsid w:val="00525E98"/>
    <w:rsid w:val="00527277"/>
    <w:rsid w:val="0055060D"/>
    <w:rsid w:val="00554551"/>
    <w:rsid w:val="00572D8C"/>
    <w:rsid w:val="00595147"/>
    <w:rsid w:val="00595720"/>
    <w:rsid w:val="005A3B76"/>
    <w:rsid w:val="005A61E3"/>
    <w:rsid w:val="005C478C"/>
    <w:rsid w:val="005C5302"/>
    <w:rsid w:val="005F4B7A"/>
    <w:rsid w:val="006359CA"/>
    <w:rsid w:val="006A3ECD"/>
    <w:rsid w:val="006C4A72"/>
    <w:rsid w:val="006D3E3D"/>
    <w:rsid w:val="006E7285"/>
    <w:rsid w:val="006F7B54"/>
    <w:rsid w:val="00724941"/>
    <w:rsid w:val="00725367"/>
    <w:rsid w:val="007530EE"/>
    <w:rsid w:val="00755B82"/>
    <w:rsid w:val="007637D0"/>
    <w:rsid w:val="007C722F"/>
    <w:rsid w:val="007D333E"/>
    <w:rsid w:val="00801599"/>
    <w:rsid w:val="00857F22"/>
    <w:rsid w:val="00861334"/>
    <w:rsid w:val="00865EE3"/>
    <w:rsid w:val="00874E42"/>
    <w:rsid w:val="00883407"/>
    <w:rsid w:val="00897EC2"/>
    <w:rsid w:val="008B6292"/>
    <w:rsid w:val="008E2F9C"/>
    <w:rsid w:val="00903EFA"/>
    <w:rsid w:val="00991C74"/>
    <w:rsid w:val="009A3320"/>
    <w:rsid w:val="009B5239"/>
    <w:rsid w:val="009C44E5"/>
    <w:rsid w:val="009C7275"/>
    <w:rsid w:val="009E6B72"/>
    <w:rsid w:val="00A0589A"/>
    <w:rsid w:val="00A132F5"/>
    <w:rsid w:val="00A26112"/>
    <w:rsid w:val="00A51477"/>
    <w:rsid w:val="00A56877"/>
    <w:rsid w:val="00A6027A"/>
    <w:rsid w:val="00A86613"/>
    <w:rsid w:val="00A94902"/>
    <w:rsid w:val="00AA694E"/>
    <w:rsid w:val="00AB4A14"/>
    <w:rsid w:val="00AF41A5"/>
    <w:rsid w:val="00B0570C"/>
    <w:rsid w:val="00B25030"/>
    <w:rsid w:val="00B33213"/>
    <w:rsid w:val="00B42FC1"/>
    <w:rsid w:val="00B46C01"/>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9611F"/>
    <w:rsid w:val="00ED0A56"/>
    <w:rsid w:val="00F132DA"/>
    <w:rsid w:val="00F23412"/>
    <w:rsid w:val="00F36CA9"/>
    <w:rsid w:val="00F542CC"/>
    <w:rsid w:val="00F65E44"/>
    <w:rsid w:val="00F733FA"/>
    <w:rsid w:val="00F95946"/>
    <w:rsid w:val="00FA7B0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E608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7D333E"/>
    <w:pPr>
      <w:spacing w:after="0"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paragraph" w:customStyle="1" w:styleId="gmail-msonormal">
    <w:name w:val="gmail-msonormal"/>
    <w:basedOn w:val="Normal"/>
    <w:rsid w:val="00A0589A"/>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A0589A"/>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F234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3">
      <w:bodyDiv w:val="1"/>
      <w:marLeft w:val="0"/>
      <w:marRight w:val="0"/>
      <w:marTop w:val="0"/>
      <w:marBottom w:val="0"/>
      <w:divBdr>
        <w:top w:val="none" w:sz="0" w:space="0" w:color="auto"/>
        <w:left w:val="none" w:sz="0" w:space="0" w:color="auto"/>
        <w:bottom w:val="none" w:sz="0" w:space="0" w:color="auto"/>
        <w:right w:val="none" w:sz="0" w:space="0" w:color="auto"/>
      </w:divBdr>
    </w:div>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486436939">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537200721">
      <w:bodyDiv w:val="1"/>
      <w:marLeft w:val="0"/>
      <w:marRight w:val="0"/>
      <w:marTop w:val="0"/>
      <w:marBottom w:val="0"/>
      <w:divBdr>
        <w:top w:val="none" w:sz="0" w:space="0" w:color="auto"/>
        <w:left w:val="none" w:sz="0" w:space="0" w:color="auto"/>
        <w:bottom w:val="none" w:sz="0" w:space="0" w:color="auto"/>
        <w:right w:val="none" w:sz="0" w:space="0" w:color="auto"/>
      </w:divBdr>
    </w:div>
    <w:div w:id="545532190">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756901275">
      <w:bodyDiv w:val="1"/>
      <w:marLeft w:val="0"/>
      <w:marRight w:val="0"/>
      <w:marTop w:val="0"/>
      <w:marBottom w:val="0"/>
      <w:divBdr>
        <w:top w:val="none" w:sz="0" w:space="0" w:color="auto"/>
        <w:left w:val="none" w:sz="0" w:space="0" w:color="auto"/>
        <w:bottom w:val="none" w:sz="0" w:space="0" w:color="auto"/>
        <w:right w:val="none" w:sz="0" w:space="0" w:color="auto"/>
      </w:divBdr>
    </w:div>
    <w:div w:id="840585533">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3549392">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368600134">
      <w:bodyDiv w:val="1"/>
      <w:marLeft w:val="0"/>
      <w:marRight w:val="0"/>
      <w:marTop w:val="0"/>
      <w:marBottom w:val="0"/>
      <w:divBdr>
        <w:top w:val="none" w:sz="0" w:space="0" w:color="auto"/>
        <w:left w:val="none" w:sz="0" w:space="0" w:color="auto"/>
        <w:bottom w:val="none" w:sz="0" w:space="0" w:color="auto"/>
        <w:right w:val="none" w:sz="0" w:space="0" w:color="auto"/>
      </w:divBdr>
    </w:div>
    <w:div w:id="1453012693">
      <w:bodyDiv w:val="1"/>
      <w:marLeft w:val="0"/>
      <w:marRight w:val="0"/>
      <w:marTop w:val="0"/>
      <w:marBottom w:val="0"/>
      <w:divBdr>
        <w:top w:val="none" w:sz="0" w:space="0" w:color="auto"/>
        <w:left w:val="none" w:sz="0" w:space="0" w:color="auto"/>
        <w:bottom w:val="none" w:sz="0" w:space="0" w:color="auto"/>
        <w:right w:val="none" w:sz="0" w:space="0" w:color="auto"/>
      </w:divBdr>
    </w:div>
    <w:div w:id="1481076099">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94E1AE-C89A-42F5-8907-02AEC54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McGinn, Delaney</cp:lastModifiedBy>
  <cp:revision>3</cp:revision>
  <dcterms:created xsi:type="dcterms:W3CDTF">2021-04-16T17:13:00Z</dcterms:created>
  <dcterms:modified xsi:type="dcterms:W3CDTF">2021-04-16T19:47:00Z</dcterms:modified>
</cp:coreProperties>
</file>